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553B9" w14:textId="2303BDD6" w:rsidR="6E4EAF4A" w:rsidRDefault="002B0D03">
      <w:r>
        <w:t>Appendix 1 – List of Proposed Amendments to the Constitution</w:t>
      </w:r>
    </w:p>
    <w:p w14:paraId="4C752543" w14:textId="77777777" w:rsidR="002B0D03" w:rsidRDefault="002B0D03" w:rsidP="008A22C6"/>
    <w:p w14:paraId="06842D9F" w14:textId="32AED90C" w:rsidR="00E80504" w:rsidRDefault="00E80504" w:rsidP="00E80504">
      <w:r>
        <w:t>Part 4</w:t>
      </w:r>
      <w:r w:rsidR="00CD5ADD">
        <w:t xml:space="preserve"> Who carries out executive responsibilities?</w:t>
      </w:r>
      <w:r w:rsidR="001000FF">
        <w:t xml:space="preserve"> Annex 1</w:t>
      </w:r>
      <w:r w:rsidR="002449B2">
        <w:t xml:space="preserve"> </w:t>
      </w:r>
      <w:r w:rsidR="002449B2" w:rsidRPr="002449B2">
        <w:t>Matters Delegated to Individual Cabinet Members</w:t>
      </w:r>
    </w:p>
    <w:p w14:paraId="17D6EF3A" w14:textId="77777777" w:rsidR="00E80504" w:rsidRDefault="00E80504" w:rsidP="00E80504"/>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2328"/>
        <w:gridCol w:w="8587"/>
      </w:tblGrid>
      <w:tr w:rsidR="00C9091C" w:rsidRPr="00C9091C" w14:paraId="06EF63A9" w14:textId="77777777" w:rsidTr="071777DE">
        <w:trPr>
          <w:trHeight w:val="275"/>
        </w:trPr>
        <w:tc>
          <w:tcPr>
            <w:tcW w:w="3682" w:type="dxa"/>
          </w:tcPr>
          <w:p w14:paraId="227ACC02" w14:textId="77777777" w:rsidR="00C9091C" w:rsidRPr="00C9091C" w:rsidRDefault="00C9091C" w:rsidP="00C9091C">
            <w:pPr>
              <w:rPr>
                <w:b/>
                <w:lang w:bidi="en-GB"/>
              </w:rPr>
            </w:pPr>
            <w:r w:rsidRPr="00C9091C">
              <w:rPr>
                <w:b/>
                <w:lang w:bidi="en-GB"/>
              </w:rPr>
              <w:t>Cabinet Member</w:t>
            </w:r>
          </w:p>
        </w:tc>
        <w:tc>
          <w:tcPr>
            <w:tcW w:w="2328" w:type="dxa"/>
          </w:tcPr>
          <w:p w14:paraId="5BF11EF9" w14:textId="77777777" w:rsidR="00C9091C" w:rsidRPr="00C9091C" w:rsidRDefault="00C9091C" w:rsidP="00C9091C">
            <w:pPr>
              <w:rPr>
                <w:b/>
                <w:lang w:bidi="en-GB"/>
              </w:rPr>
            </w:pPr>
            <w:r w:rsidRPr="00C9091C">
              <w:rPr>
                <w:b/>
                <w:lang w:bidi="en-GB"/>
              </w:rPr>
              <w:t>Date of Delegation</w:t>
            </w:r>
          </w:p>
        </w:tc>
        <w:tc>
          <w:tcPr>
            <w:tcW w:w="8587" w:type="dxa"/>
          </w:tcPr>
          <w:p w14:paraId="4C3E23C7" w14:textId="77777777" w:rsidR="00C9091C" w:rsidRPr="00C9091C" w:rsidRDefault="00C9091C" w:rsidP="00C9091C">
            <w:pPr>
              <w:rPr>
                <w:b/>
                <w:lang w:bidi="en-GB"/>
              </w:rPr>
            </w:pPr>
            <w:r w:rsidRPr="00C9091C">
              <w:rPr>
                <w:b/>
                <w:lang w:bidi="en-GB"/>
              </w:rPr>
              <w:t>Delegation</w:t>
            </w:r>
          </w:p>
        </w:tc>
      </w:tr>
      <w:tr w:rsidR="00C9091C" w:rsidRPr="00C9091C" w14:paraId="6022D3CE" w14:textId="77777777" w:rsidTr="071777DE">
        <w:trPr>
          <w:trHeight w:val="1655"/>
        </w:trPr>
        <w:tc>
          <w:tcPr>
            <w:tcW w:w="3682" w:type="dxa"/>
          </w:tcPr>
          <w:p w14:paraId="28CF001F" w14:textId="77777777" w:rsidR="00C9091C" w:rsidRPr="00C9091C" w:rsidRDefault="00C9091C" w:rsidP="00C9091C">
            <w:pPr>
              <w:rPr>
                <w:b/>
                <w:lang w:bidi="en-GB"/>
              </w:rPr>
            </w:pPr>
          </w:p>
          <w:p w14:paraId="284461CE" w14:textId="0DDA8A14" w:rsidR="00C9091C" w:rsidRPr="00C9091C" w:rsidRDefault="001D79F5" w:rsidP="00C9091C">
            <w:pPr>
              <w:rPr>
                <w:lang w:bidi="en-GB"/>
              </w:rPr>
            </w:pPr>
            <w:r w:rsidRPr="001D79F5">
              <w:rPr>
                <w:lang w:bidi="en-GB"/>
              </w:rPr>
              <w:t>Cabinet Member for Citizen Focused Services and Council Companies</w:t>
            </w:r>
          </w:p>
        </w:tc>
        <w:tc>
          <w:tcPr>
            <w:tcW w:w="2328" w:type="dxa"/>
          </w:tcPr>
          <w:p w14:paraId="6268ECAF" w14:textId="77777777" w:rsidR="00C9091C" w:rsidRPr="00C9091C" w:rsidRDefault="00C9091C" w:rsidP="00C9091C">
            <w:pPr>
              <w:rPr>
                <w:b/>
                <w:lang w:bidi="en-GB"/>
              </w:rPr>
            </w:pPr>
          </w:p>
          <w:p w14:paraId="6E4CCF09" w14:textId="77777777" w:rsidR="00C9091C" w:rsidRPr="00C9091C" w:rsidRDefault="00C9091C" w:rsidP="00C9091C">
            <w:pPr>
              <w:rPr>
                <w:b/>
                <w:lang w:bidi="en-GB"/>
              </w:rPr>
            </w:pPr>
          </w:p>
          <w:p w14:paraId="13AF87D4" w14:textId="63D560C8" w:rsidR="00C9091C" w:rsidRPr="00C9091C" w:rsidRDefault="00C9091C" w:rsidP="00C9091C">
            <w:pPr>
              <w:rPr>
                <w:lang w:bidi="en-GB"/>
              </w:rPr>
            </w:pPr>
            <w:r w:rsidRPr="00C9091C">
              <w:rPr>
                <w:lang w:bidi="en-GB"/>
              </w:rPr>
              <w:t xml:space="preserve">19 </w:t>
            </w:r>
            <w:r w:rsidR="001D79F5">
              <w:rPr>
                <w:lang w:bidi="en-GB"/>
              </w:rPr>
              <w:t>September 2025</w:t>
            </w:r>
          </w:p>
        </w:tc>
        <w:tc>
          <w:tcPr>
            <w:tcW w:w="8587" w:type="dxa"/>
          </w:tcPr>
          <w:p w14:paraId="4FFA97B9" w14:textId="77777777" w:rsidR="00C9091C" w:rsidRPr="00C9091C" w:rsidRDefault="00C9091C" w:rsidP="00C9091C">
            <w:pPr>
              <w:rPr>
                <w:b/>
                <w:lang w:bidi="en-GB"/>
              </w:rPr>
            </w:pPr>
          </w:p>
          <w:p w14:paraId="5B9B6787" w14:textId="60BD81D2" w:rsidR="00C9091C" w:rsidRPr="00C9091C" w:rsidRDefault="5F5EA44F" w:rsidP="071777DE">
            <w:pPr>
              <w:rPr>
                <w:b/>
                <w:bCs/>
                <w:i/>
                <w:iCs/>
                <w:lang w:bidi="en-GB"/>
              </w:rPr>
            </w:pPr>
            <w:r w:rsidRPr="071777DE">
              <w:rPr>
                <w:b/>
                <w:bCs/>
                <w:i/>
                <w:iCs/>
                <w:lang w:bidi="en-GB"/>
              </w:rPr>
              <w:t xml:space="preserve">Decision as </w:t>
            </w:r>
            <w:r w:rsidR="09D8023B" w:rsidRPr="071777DE">
              <w:rPr>
                <w:b/>
                <w:bCs/>
                <w:i/>
                <w:iCs/>
                <w:lang w:bidi="en-GB"/>
              </w:rPr>
              <w:t>Shareholder</w:t>
            </w:r>
            <w:r w:rsidRPr="071777DE">
              <w:rPr>
                <w:b/>
                <w:bCs/>
                <w:i/>
                <w:iCs/>
                <w:lang w:bidi="en-GB"/>
              </w:rPr>
              <w:t xml:space="preserve"> in </w:t>
            </w:r>
            <w:r w:rsidR="3C50BF61" w:rsidRPr="071777DE">
              <w:rPr>
                <w:b/>
                <w:bCs/>
                <w:i/>
                <w:iCs/>
                <w:lang w:bidi="en-GB"/>
              </w:rPr>
              <w:t>relation</w:t>
            </w:r>
            <w:r w:rsidRPr="071777DE">
              <w:rPr>
                <w:b/>
                <w:bCs/>
                <w:i/>
                <w:iCs/>
                <w:lang w:bidi="en-GB"/>
              </w:rPr>
              <w:t xml:space="preserve"> to the submission of b</w:t>
            </w:r>
            <w:r w:rsidR="3D54E3A0" w:rsidRPr="071777DE">
              <w:rPr>
                <w:b/>
                <w:bCs/>
                <w:i/>
                <w:iCs/>
                <w:lang w:bidi="en-GB"/>
              </w:rPr>
              <w:t>ids</w:t>
            </w:r>
            <w:r w:rsidR="7CF1DCDB" w:rsidRPr="071777DE">
              <w:rPr>
                <w:b/>
                <w:bCs/>
                <w:i/>
                <w:iCs/>
                <w:lang w:bidi="en-GB"/>
              </w:rPr>
              <w:t xml:space="preserve"> by </w:t>
            </w:r>
            <w:r w:rsidR="3D54E3A0" w:rsidRPr="071777DE">
              <w:rPr>
                <w:b/>
                <w:bCs/>
                <w:i/>
                <w:iCs/>
                <w:lang w:bidi="en-GB"/>
              </w:rPr>
              <w:t>Oxford Direct Services Limited and Oxford Direct Services Trading Limited</w:t>
            </w:r>
            <w:r w:rsidR="6D4F94C5" w:rsidRPr="071777DE">
              <w:rPr>
                <w:b/>
                <w:bCs/>
                <w:i/>
                <w:iCs/>
                <w:lang w:bidi="en-GB"/>
              </w:rPr>
              <w:t xml:space="preserve"> for tender opportunities as reserved to the Shareholder in the </w:t>
            </w:r>
            <w:r w:rsidR="250A85FE" w:rsidRPr="071777DE">
              <w:rPr>
                <w:b/>
                <w:bCs/>
                <w:i/>
                <w:iCs/>
                <w:lang w:bidi="en-GB"/>
              </w:rPr>
              <w:t>Shareholder</w:t>
            </w:r>
            <w:r w:rsidR="6D4F94C5" w:rsidRPr="071777DE">
              <w:rPr>
                <w:b/>
                <w:bCs/>
                <w:i/>
                <w:iCs/>
                <w:lang w:bidi="en-GB"/>
              </w:rPr>
              <w:t xml:space="preserve"> Agreement with the companies </w:t>
            </w:r>
          </w:p>
          <w:p w14:paraId="4877F045" w14:textId="044A0551" w:rsidR="46B78E26" w:rsidRDefault="46B78E26" w:rsidP="46B78E26">
            <w:pPr>
              <w:rPr>
                <w:b/>
                <w:bCs/>
                <w:i/>
                <w:iCs/>
                <w:lang w:bidi="en-GB"/>
              </w:rPr>
            </w:pPr>
          </w:p>
          <w:p w14:paraId="62FD2450" w14:textId="3451EF08" w:rsidR="00682D35" w:rsidRPr="00C9091C" w:rsidRDefault="4A8F82BD" w:rsidP="071777DE">
            <w:pPr>
              <w:rPr>
                <w:i/>
                <w:iCs/>
                <w:lang w:bidi="en-GB"/>
              </w:rPr>
            </w:pPr>
            <w:r w:rsidRPr="46B78E26">
              <w:rPr>
                <w:i/>
                <w:iCs/>
                <w:lang w:bidi="en-GB"/>
              </w:rPr>
              <w:t>(</w:t>
            </w:r>
            <w:r w:rsidR="0BDF788D" w:rsidRPr="46B78E26">
              <w:rPr>
                <w:i/>
                <w:iCs/>
                <w:lang w:bidi="en-GB"/>
              </w:rPr>
              <w:t>Fo</w:t>
            </w:r>
            <w:r w:rsidRPr="46B78E26">
              <w:rPr>
                <w:i/>
                <w:iCs/>
                <w:lang w:bidi="en-GB"/>
              </w:rPr>
              <w:t xml:space="preserve">r information: </w:t>
            </w:r>
            <w:r w:rsidR="3D54E3A0" w:rsidRPr="071777DE">
              <w:rPr>
                <w:i/>
                <w:iCs/>
                <w:lang w:bidi="en-GB"/>
              </w:rPr>
              <w:t>The Leader</w:t>
            </w:r>
            <w:r w:rsidR="229B1A49" w:rsidRPr="071777DE">
              <w:rPr>
                <w:i/>
                <w:iCs/>
                <w:lang w:bidi="en-GB"/>
              </w:rPr>
              <w:t>, on behalf of the Shareholder,</w:t>
            </w:r>
            <w:r w:rsidR="3D54E3A0" w:rsidRPr="071777DE">
              <w:rPr>
                <w:i/>
                <w:iCs/>
                <w:lang w:bidi="en-GB"/>
              </w:rPr>
              <w:t xml:space="preserve"> resolved on</w:t>
            </w:r>
            <w:r w:rsidR="31F8C96D" w:rsidRPr="071777DE">
              <w:rPr>
                <w:i/>
                <w:iCs/>
                <w:lang w:bidi="en-GB"/>
              </w:rPr>
              <w:t xml:space="preserve"> 19 </w:t>
            </w:r>
            <w:r w:rsidR="3D54E3A0" w:rsidRPr="071777DE">
              <w:rPr>
                <w:i/>
                <w:iCs/>
                <w:lang w:bidi="en-GB"/>
              </w:rPr>
              <w:t>September</w:t>
            </w:r>
            <w:r w:rsidR="31F8C96D" w:rsidRPr="071777DE">
              <w:rPr>
                <w:i/>
                <w:iCs/>
                <w:lang w:bidi="en-GB"/>
              </w:rPr>
              <w:t xml:space="preserve"> 20</w:t>
            </w:r>
            <w:r w:rsidR="3D54E3A0" w:rsidRPr="071777DE">
              <w:rPr>
                <w:i/>
                <w:iCs/>
                <w:lang w:bidi="en-GB"/>
              </w:rPr>
              <w:t>25</w:t>
            </w:r>
            <w:r w:rsidR="31F8C96D" w:rsidRPr="071777DE">
              <w:rPr>
                <w:i/>
                <w:iCs/>
                <w:lang w:bidi="en-GB"/>
              </w:rPr>
              <w:t xml:space="preserve"> to delegate the authority for decisions in relation </w:t>
            </w:r>
            <w:r w:rsidR="229B1A49" w:rsidRPr="071777DE">
              <w:rPr>
                <w:i/>
                <w:iCs/>
                <w:lang w:bidi="en-GB"/>
              </w:rPr>
              <w:t>to Bids for Oxford Direct Services Limited and Oxford Direct Services Trading Limited</w:t>
            </w:r>
            <w:r w:rsidR="0FF0DD50" w:rsidRPr="071777DE">
              <w:rPr>
                <w:i/>
                <w:iCs/>
                <w:lang w:bidi="en-GB"/>
              </w:rPr>
              <w:t>. The amendment to the constitution will ensure this is captured for transparency</w:t>
            </w:r>
            <w:r w:rsidR="0FF0DD50" w:rsidRPr="46B78E26">
              <w:rPr>
                <w:i/>
                <w:iCs/>
                <w:lang w:bidi="en-GB"/>
              </w:rPr>
              <w:t>.</w:t>
            </w:r>
            <w:r w:rsidR="44D7715F" w:rsidRPr="46B78E26">
              <w:rPr>
                <w:i/>
                <w:iCs/>
                <w:lang w:bidi="en-GB"/>
              </w:rPr>
              <w:t>)</w:t>
            </w:r>
          </w:p>
          <w:p w14:paraId="73DF7F48" w14:textId="24670E45" w:rsidR="00C9091C" w:rsidRPr="00C9091C" w:rsidRDefault="00C9091C" w:rsidP="00C9091C">
            <w:pPr>
              <w:rPr>
                <w:i/>
                <w:lang w:bidi="en-GB"/>
              </w:rPr>
            </w:pPr>
          </w:p>
        </w:tc>
      </w:tr>
    </w:tbl>
    <w:p w14:paraId="06D8B458" w14:textId="77777777" w:rsidR="00E80504" w:rsidRDefault="00E80504" w:rsidP="008A22C6"/>
    <w:p w14:paraId="78330924" w14:textId="77777777" w:rsidR="00386FDA" w:rsidRDefault="00386FDA" w:rsidP="008A22C6"/>
    <w:p w14:paraId="750CC8E7" w14:textId="77777777" w:rsidR="00E80504" w:rsidRDefault="00E80504" w:rsidP="008A22C6"/>
    <w:p w14:paraId="00111AB6" w14:textId="195B35C4" w:rsidR="00066B6E" w:rsidRDefault="00066B6E" w:rsidP="008A22C6">
      <w:r>
        <w:t xml:space="preserve">Part 5 </w:t>
      </w:r>
      <w:r w:rsidR="00095E3D">
        <w:t>Who carries out Council responsibilities</w:t>
      </w:r>
      <w:r w:rsidR="00CD5ADD">
        <w:t>?</w:t>
      </w:r>
    </w:p>
    <w:p w14:paraId="78199C1A" w14:textId="77777777" w:rsidR="00066B6E" w:rsidRDefault="00066B6E" w:rsidP="008A22C6"/>
    <w:tbl>
      <w:tblPr>
        <w:tblStyle w:val="TableGrid"/>
        <w:tblW w:w="14174" w:type="dxa"/>
        <w:tblLook w:val="04A0" w:firstRow="1" w:lastRow="0" w:firstColumn="1" w:lastColumn="0" w:noHBand="0" w:noVBand="1"/>
      </w:tblPr>
      <w:tblGrid>
        <w:gridCol w:w="2187"/>
        <w:gridCol w:w="4916"/>
        <w:gridCol w:w="4916"/>
        <w:gridCol w:w="2155"/>
      </w:tblGrid>
      <w:tr w:rsidR="00A712BE" w14:paraId="05BDF26C" w14:textId="77777777" w:rsidTr="071777DE">
        <w:tc>
          <w:tcPr>
            <w:tcW w:w="2187" w:type="dxa"/>
          </w:tcPr>
          <w:p w14:paraId="5B2CAE85" w14:textId="77777777" w:rsidR="00A712BE" w:rsidRDefault="00A712BE">
            <w:r>
              <w:t>Paragraph</w:t>
            </w:r>
          </w:p>
        </w:tc>
        <w:tc>
          <w:tcPr>
            <w:tcW w:w="4916" w:type="dxa"/>
          </w:tcPr>
          <w:p w14:paraId="5C3009FE" w14:textId="77777777" w:rsidR="00A712BE" w:rsidRDefault="00A712BE">
            <w:r>
              <w:t>Current</w:t>
            </w:r>
          </w:p>
        </w:tc>
        <w:tc>
          <w:tcPr>
            <w:tcW w:w="4916" w:type="dxa"/>
          </w:tcPr>
          <w:p w14:paraId="39FC41C5" w14:textId="77777777" w:rsidR="00A712BE" w:rsidRDefault="00A712BE">
            <w:r>
              <w:t>Change</w:t>
            </w:r>
          </w:p>
        </w:tc>
        <w:tc>
          <w:tcPr>
            <w:tcW w:w="2155" w:type="dxa"/>
          </w:tcPr>
          <w:p w14:paraId="1D73FD02" w14:textId="77777777" w:rsidR="00A712BE" w:rsidRDefault="00A712BE">
            <w:r>
              <w:t>Reason</w:t>
            </w:r>
          </w:p>
        </w:tc>
      </w:tr>
      <w:tr w:rsidR="00D271D4" w14:paraId="73BB8563" w14:textId="77777777" w:rsidTr="071777DE">
        <w:tc>
          <w:tcPr>
            <w:tcW w:w="2187" w:type="dxa"/>
          </w:tcPr>
          <w:p w14:paraId="6319D205" w14:textId="77777777" w:rsidR="00D271D4" w:rsidRDefault="00D271D4">
            <w:r>
              <w:t>5.3 Planning</w:t>
            </w:r>
          </w:p>
          <w:p w14:paraId="25084641" w14:textId="5C5F8DAB" w:rsidR="00FA6264" w:rsidRDefault="00FA6264">
            <w:r>
              <w:t>(b) who carries out the responsibilities</w:t>
            </w:r>
          </w:p>
        </w:tc>
        <w:tc>
          <w:tcPr>
            <w:tcW w:w="4916" w:type="dxa"/>
          </w:tcPr>
          <w:p w14:paraId="497BF32B" w14:textId="57EB0E80" w:rsidR="00D271D4" w:rsidRPr="00F90475" w:rsidRDefault="00F90475" w:rsidP="00F90475">
            <w:pPr>
              <w:rPr>
                <w:i/>
                <w:lang w:bidi="en-GB"/>
              </w:rPr>
            </w:pPr>
            <w:r w:rsidRPr="00F90475">
              <w:rPr>
                <w:lang w:bidi="en-GB"/>
              </w:rPr>
              <w:t xml:space="preserve">deciding planning applications that would otherwise be decided by officers that have been called in by councillors by 5pm on the last day of the period of 21-days starting with the day on which notice of the application is sent to councillors (via the weekly planning list) (Part 17.3). </w:t>
            </w:r>
            <w:r w:rsidRPr="00F90475">
              <w:rPr>
                <w:i/>
                <w:lang w:bidi="en-GB"/>
              </w:rPr>
              <w:t xml:space="preserve">In instances where there are significant changes to material planning considerations, as determined by the </w:t>
            </w:r>
            <w:r w:rsidRPr="00F90475">
              <w:rPr>
                <w:i/>
                <w:lang w:bidi="en-GB"/>
              </w:rPr>
              <w:lastRenderedPageBreak/>
              <w:t xml:space="preserve">Director of Planning and Regulation, </w:t>
            </w:r>
            <w:r w:rsidRPr="37BEB106">
              <w:rPr>
                <w:b/>
                <w:i/>
                <w:lang w:bidi="en-GB"/>
              </w:rPr>
              <w:t>after the initial notice of the application is sent to councillors via the weekly planning list</w:t>
            </w:r>
            <w:r w:rsidRPr="00F90475">
              <w:rPr>
                <w:i/>
                <w:lang w:bidi="en-GB"/>
              </w:rPr>
              <w:t>, those applications should be re-notified as such to councillors via the weekly list. In instances such as these the period of 21-days would restart at the point at which the application is re-notified to councillors</w:t>
            </w:r>
          </w:p>
        </w:tc>
        <w:tc>
          <w:tcPr>
            <w:tcW w:w="4916" w:type="dxa"/>
          </w:tcPr>
          <w:p w14:paraId="52BC5B32" w14:textId="77777777" w:rsidR="00F90475" w:rsidRPr="00F90475" w:rsidRDefault="00F90475" w:rsidP="00F90475">
            <w:pPr>
              <w:rPr>
                <w:i/>
                <w:lang w:bidi="en-GB"/>
              </w:rPr>
            </w:pPr>
            <w:r w:rsidRPr="00F90475">
              <w:rPr>
                <w:lang w:bidi="en-GB"/>
              </w:rPr>
              <w:lastRenderedPageBreak/>
              <w:t xml:space="preserve">deciding planning applications that would otherwise be decided by officers that have been called in by councillors by 5pm on the last day of the period of 21-days starting with the day on which notice of the application is sent to councillors (via the weekly planning list) (Part 17.3). </w:t>
            </w:r>
            <w:r w:rsidRPr="00F90475">
              <w:rPr>
                <w:i/>
                <w:lang w:bidi="en-GB"/>
              </w:rPr>
              <w:t xml:space="preserve">In instances where there are significant changes to material planning considerations, as determined by the </w:t>
            </w:r>
            <w:r w:rsidRPr="00F90475">
              <w:rPr>
                <w:i/>
                <w:lang w:bidi="en-GB"/>
              </w:rPr>
              <w:lastRenderedPageBreak/>
              <w:t xml:space="preserve">Director of Planning and Regulation, </w:t>
            </w:r>
            <w:r w:rsidRPr="0888C3FA">
              <w:rPr>
                <w:b/>
                <w:i/>
                <w:lang w:bidi="en-GB"/>
              </w:rPr>
              <w:t>after the initial notice of the application is published on the Council website</w:t>
            </w:r>
            <w:r w:rsidRPr="00F90475">
              <w:rPr>
                <w:i/>
                <w:lang w:bidi="en-GB"/>
              </w:rPr>
              <w:t>, those applications should be re-notified as such to councillors via the weekly list. In instances such as these the period of 21-days would restart at the point at which the application is re-notified to councillors</w:t>
            </w:r>
          </w:p>
          <w:p w14:paraId="332CA45E" w14:textId="77777777" w:rsidR="00D271D4" w:rsidRDefault="00D271D4"/>
        </w:tc>
        <w:tc>
          <w:tcPr>
            <w:tcW w:w="2155" w:type="dxa"/>
          </w:tcPr>
          <w:p w14:paraId="07273E15" w14:textId="3DD0EAC1" w:rsidR="00794569" w:rsidRPr="00794569" w:rsidRDefault="00794569" w:rsidP="00794569">
            <w:r w:rsidRPr="00794569">
              <w:lastRenderedPageBreak/>
              <w:t xml:space="preserve">This </w:t>
            </w:r>
            <w:r w:rsidR="368B6CA9">
              <w:t>amends the</w:t>
            </w:r>
            <w:r w:rsidRPr="00794569">
              <w:t xml:space="preserve"> call-in deadline </w:t>
            </w:r>
            <w:r w:rsidR="2B23C140">
              <w:t>to running from</w:t>
            </w:r>
            <w:r w:rsidRPr="00794569">
              <w:t xml:space="preserve"> when it is published on the website.</w:t>
            </w:r>
          </w:p>
          <w:p w14:paraId="07855C57" w14:textId="77777777" w:rsidR="00794569" w:rsidRPr="00794569" w:rsidRDefault="00794569" w:rsidP="00794569"/>
          <w:p w14:paraId="52AA8BA1" w14:textId="22341C43" w:rsidR="00D271D4" w:rsidRDefault="00794569" w:rsidP="00794569">
            <w:r w:rsidRPr="00794569">
              <w:t xml:space="preserve">Councillors will continue to receive the </w:t>
            </w:r>
            <w:r w:rsidRPr="00794569">
              <w:lastRenderedPageBreak/>
              <w:t>weekly planning list via email.</w:t>
            </w:r>
          </w:p>
        </w:tc>
      </w:tr>
      <w:tr w:rsidR="00A712BE" w14:paraId="792751B0" w14:textId="77777777" w:rsidTr="071777DE">
        <w:tc>
          <w:tcPr>
            <w:tcW w:w="2187" w:type="dxa"/>
          </w:tcPr>
          <w:p w14:paraId="0E51DF84" w14:textId="77777777" w:rsidR="00A80016" w:rsidRDefault="0083291A" w:rsidP="00A80016">
            <w:r>
              <w:lastRenderedPageBreak/>
              <w:t>5.</w:t>
            </w:r>
            <w:r w:rsidR="00A80016">
              <w:t xml:space="preserve">4 Licensing of alcohol, entertainment and </w:t>
            </w:r>
            <w:proofErr w:type="gramStart"/>
            <w:r w:rsidR="00A80016">
              <w:t>late night</w:t>
            </w:r>
            <w:proofErr w:type="gramEnd"/>
            <w:r w:rsidR="00A80016">
              <w:t xml:space="preserve"> refreshments</w:t>
            </w:r>
          </w:p>
          <w:p w14:paraId="6309D1A7" w14:textId="6606303A" w:rsidR="00A712BE" w:rsidRDefault="00A80016" w:rsidP="00A80016">
            <w:r>
              <w:t>(b) who carries out the responsibilities</w:t>
            </w:r>
            <w:r w:rsidR="00A712BE">
              <w:t xml:space="preserve"> </w:t>
            </w:r>
          </w:p>
        </w:tc>
        <w:tc>
          <w:tcPr>
            <w:tcW w:w="4916" w:type="dxa"/>
          </w:tcPr>
          <w:p w14:paraId="5315159E" w14:textId="0C394ECA" w:rsidR="006C7D71" w:rsidRPr="006C7D71" w:rsidRDefault="006C7D71" w:rsidP="006C7D71">
            <w:pPr>
              <w:rPr>
                <w:b/>
                <w:lang w:bidi="en-GB"/>
              </w:rPr>
            </w:pPr>
            <w:r w:rsidRPr="1299628A">
              <w:rPr>
                <w:b/>
                <w:lang w:bidi="en-GB"/>
              </w:rPr>
              <w:t xml:space="preserve">Council sets policies on licensing other than those contained in Section 7, including the Cumulative Impact / Selective Licensing Policy.  </w:t>
            </w:r>
          </w:p>
          <w:p w14:paraId="6AEB28D6" w14:textId="77777777" w:rsidR="006C7D71" w:rsidRPr="006C7D71" w:rsidRDefault="006C7D71" w:rsidP="006C7D71">
            <w:pPr>
              <w:rPr>
                <w:lang w:bidi="en-GB"/>
              </w:rPr>
            </w:pPr>
            <w:r w:rsidRPr="006C7D71">
              <w:rPr>
                <w:lang w:bidi="en-GB"/>
              </w:rPr>
              <w:t>The Licensing and Gambling Acts Committee:</w:t>
            </w:r>
          </w:p>
          <w:p w14:paraId="5A8A7CCC" w14:textId="582F9028" w:rsidR="006C7D71" w:rsidRPr="006C7D71" w:rsidRDefault="006C7D71" w:rsidP="00FD58BB">
            <w:pPr>
              <w:numPr>
                <w:ilvl w:val="0"/>
                <w:numId w:val="38"/>
              </w:numPr>
              <w:rPr>
                <w:lang w:bidi="en-GB"/>
              </w:rPr>
            </w:pPr>
            <w:r w:rsidRPr="006C7D71">
              <w:rPr>
                <w:lang w:bidi="en-GB"/>
              </w:rPr>
              <w:t xml:space="preserve">reviews and recommends those policies </w:t>
            </w:r>
            <w:r w:rsidR="00736BC7">
              <w:rPr>
                <w:lang w:bidi="en-GB"/>
              </w:rPr>
              <w:t>on licensing to Council</w:t>
            </w:r>
          </w:p>
          <w:p w14:paraId="44E3EE28" w14:textId="77777777" w:rsidR="006C7D71" w:rsidRPr="006C7D71" w:rsidRDefault="006C7D71" w:rsidP="00FD58BB">
            <w:pPr>
              <w:numPr>
                <w:ilvl w:val="0"/>
                <w:numId w:val="38"/>
              </w:numPr>
              <w:rPr>
                <w:lang w:bidi="en-GB"/>
              </w:rPr>
            </w:pPr>
            <w:r w:rsidRPr="006C7D71">
              <w:rPr>
                <w:lang w:bidi="en-GB"/>
              </w:rPr>
              <w:t>reviews and recommends to Council fees and charges as necessary in line with the relevant legislation</w:t>
            </w:r>
          </w:p>
          <w:p w14:paraId="7734423B" w14:textId="77777777" w:rsidR="006C7D71" w:rsidRPr="006C7D71" w:rsidRDefault="006C7D71" w:rsidP="00FD58BB">
            <w:pPr>
              <w:numPr>
                <w:ilvl w:val="0"/>
                <w:numId w:val="38"/>
              </w:numPr>
              <w:rPr>
                <w:lang w:bidi="en-GB"/>
              </w:rPr>
            </w:pPr>
            <w:r w:rsidRPr="006C7D71">
              <w:rPr>
                <w:lang w:bidi="en-GB"/>
              </w:rPr>
              <w:t>appoints licensing and gambling acts casework sub-committees to:</w:t>
            </w:r>
          </w:p>
          <w:p w14:paraId="2ADDB923" w14:textId="77777777" w:rsidR="006C7D71" w:rsidRPr="006C7D71" w:rsidRDefault="006C7D71" w:rsidP="00FD58BB">
            <w:pPr>
              <w:numPr>
                <w:ilvl w:val="1"/>
                <w:numId w:val="38"/>
              </w:numPr>
              <w:rPr>
                <w:lang w:bidi="en-GB"/>
              </w:rPr>
            </w:pPr>
            <w:r w:rsidRPr="006C7D71">
              <w:rPr>
                <w:lang w:bidi="en-GB"/>
              </w:rPr>
              <w:t>decide whether to give, change to transfer premises licences or club registration certificates when there are objections</w:t>
            </w:r>
          </w:p>
          <w:p w14:paraId="1714362E" w14:textId="77777777" w:rsidR="006C7D71" w:rsidRPr="006C7D71" w:rsidRDefault="006C7D71" w:rsidP="00FD58BB">
            <w:pPr>
              <w:numPr>
                <w:ilvl w:val="1"/>
                <w:numId w:val="38"/>
              </w:numPr>
              <w:rPr>
                <w:lang w:bidi="en-GB"/>
              </w:rPr>
            </w:pPr>
            <w:r w:rsidRPr="006C7D71">
              <w:rPr>
                <w:lang w:bidi="en-GB"/>
              </w:rPr>
              <w:t>decide whether to give a temporary premises licence to a replacement licence holder when there are objections</w:t>
            </w:r>
          </w:p>
          <w:p w14:paraId="7D6F3A9B" w14:textId="77777777" w:rsidR="006C7D71" w:rsidRPr="006C7D71" w:rsidRDefault="006C7D71" w:rsidP="00FD58BB">
            <w:pPr>
              <w:numPr>
                <w:ilvl w:val="1"/>
                <w:numId w:val="38"/>
              </w:numPr>
              <w:rPr>
                <w:lang w:bidi="en-GB"/>
              </w:rPr>
            </w:pPr>
            <w:r w:rsidRPr="006C7D71">
              <w:rPr>
                <w:lang w:bidi="en-GB"/>
              </w:rPr>
              <w:t xml:space="preserve">review premises licences and </w:t>
            </w:r>
            <w:r w:rsidRPr="006C7D71">
              <w:rPr>
                <w:lang w:bidi="en-GB"/>
              </w:rPr>
              <w:lastRenderedPageBreak/>
              <w:t>club registration certificates after a closure order</w:t>
            </w:r>
          </w:p>
          <w:p w14:paraId="2F28397B" w14:textId="77777777" w:rsidR="006C7D71" w:rsidRPr="006C7D71" w:rsidRDefault="006C7D71" w:rsidP="00FD58BB">
            <w:pPr>
              <w:numPr>
                <w:ilvl w:val="1"/>
                <w:numId w:val="38"/>
              </w:numPr>
              <w:rPr>
                <w:lang w:bidi="en-GB"/>
              </w:rPr>
            </w:pPr>
            <w:r w:rsidRPr="006C7D71">
              <w:rPr>
                <w:lang w:bidi="en-GB"/>
              </w:rPr>
              <w:t>decide valid applications for a review of a premises licence or club registration certificate</w:t>
            </w:r>
          </w:p>
          <w:p w14:paraId="3531F030" w14:textId="77777777" w:rsidR="006C7D71" w:rsidRPr="006C7D71" w:rsidRDefault="006C7D71" w:rsidP="00FD58BB">
            <w:pPr>
              <w:numPr>
                <w:ilvl w:val="1"/>
                <w:numId w:val="38"/>
              </w:numPr>
              <w:rPr>
                <w:lang w:bidi="en-GB"/>
              </w:rPr>
            </w:pPr>
            <w:r w:rsidRPr="006C7D71">
              <w:rPr>
                <w:lang w:bidi="en-GB"/>
              </w:rPr>
              <w:t>deal, when there are objections, with applications for a statement saying the Council expects to give a licence to premises that are yet to be built or converted</w:t>
            </w:r>
          </w:p>
          <w:p w14:paraId="57D8265F" w14:textId="77777777" w:rsidR="006C7D71" w:rsidRPr="006C7D71" w:rsidRDefault="006C7D71" w:rsidP="00FD58BB">
            <w:pPr>
              <w:numPr>
                <w:ilvl w:val="1"/>
                <w:numId w:val="38"/>
              </w:numPr>
              <w:rPr>
                <w:lang w:bidi="en-GB"/>
              </w:rPr>
            </w:pPr>
            <w:r w:rsidRPr="006C7D71">
              <w:rPr>
                <w:lang w:bidi="en-GB"/>
              </w:rPr>
              <w:t>decide whether to prevent one-off events when there are objections from the police</w:t>
            </w:r>
          </w:p>
          <w:p w14:paraId="1A44E88D" w14:textId="77777777" w:rsidR="006C7D71" w:rsidRPr="006C7D71" w:rsidRDefault="006C7D71" w:rsidP="00FD58BB">
            <w:pPr>
              <w:numPr>
                <w:ilvl w:val="1"/>
                <w:numId w:val="38"/>
              </w:numPr>
              <w:rPr>
                <w:lang w:bidi="en-GB"/>
              </w:rPr>
            </w:pPr>
            <w:r w:rsidRPr="006C7D71">
              <w:rPr>
                <w:lang w:bidi="en-GB"/>
              </w:rPr>
              <w:t>decide applications to change the premises supervisor or appoint a temporary supervisor when there are objections from the police</w:t>
            </w:r>
          </w:p>
          <w:p w14:paraId="609A1B20" w14:textId="77777777" w:rsidR="006C7D71" w:rsidRPr="006C7D71" w:rsidRDefault="006C7D71" w:rsidP="00FD58BB">
            <w:pPr>
              <w:numPr>
                <w:ilvl w:val="1"/>
                <w:numId w:val="38"/>
              </w:numPr>
              <w:rPr>
                <w:lang w:bidi="en-GB"/>
              </w:rPr>
            </w:pPr>
            <w:r w:rsidRPr="006C7D71">
              <w:rPr>
                <w:lang w:bidi="en-GB"/>
              </w:rPr>
              <w:t>decide applications for personal licences when there are objections from the police</w:t>
            </w:r>
          </w:p>
          <w:p w14:paraId="130F736B" w14:textId="77777777" w:rsidR="006C7D71" w:rsidRPr="006C7D71" w:rsidRDefault="006C7D71" w:rsidP="00FD58BB">
            <w:pPr>
              <w:numPr>
                <w:ilvl w:val="1"/>
                <w:numId w:val="38"/>
              </w:numPr>
              <w:rPr>
                <w:lang w:bidi="en-GB"/>
              </w:rPr>
            </w:pPr>
            <w:r w:rsidRPr="006C7D71">
              <w:rPr>
                <w:lang w:bidi="en-GB"/>
              </w:rPr>
              <w:t>decide whether to withdraw a personal licence on hearing of a conviction</w:t>
            </w:r>
          </w:p>
          <w:p w14:paraId="52CB8CB6" w14:textId="77777777" w:rsidR="006C7D71" w:rsidRPr="006C7D71" w:rsidRDefault="006C7D71" w:rsidP="00FD58BB">
            <w:pPr>
              <w:numPr>
                <w:ilvl w:val="1"/>
                <w:numId w:val="38"/>
              </w:numPr>
              <w:rPr>
                <w:lang w:bidi="en-GB"/>
              </w:rPr>
            </w:pPr>
            <w:r w:rsidRPr="006C7D71">
              <w:rPr>
                <w:lang w:bidi="en-GB"/>
              </w:rPr>
              <w:t>respond to consultation on an application by another body that gives licences.</w:t>
            </w:r>
          </w:p>
          <w:p w14:paraId="65E20ED6" w14:textId="77777777" w:rsidR="006C7D71" w:rsidRPr="006C7D71" w:rsidRDefault="006C7D71" w:rsidP="006C7D71">
            <w:pPr>
              <w:rPr>
                <w:lang w:bidi="en-GB"/>
              </w:rPr>
            </w:pPr>
          </w:p>
          <w:p w14:paraId="0ABCEB42" w14:textId="62442365" w:rsidR="00A712BE" w:rsidRDefault="006C7D71">
            <w:pPr>
              <w:rPr>
                <w:lang w:bidi="en-GB"/>
              </w:rPr>
            </w:pPr>
            <w:r w:rsidRPr="006C7D71">
              <w:rPr>
                <w:lang w:bidi="en-GB"/>
              </w:rPr>
              <w:t>The Director of Planning and Regulation. has responsibility for everything else within the Licensing Act 2003.</w:t>
            </w:r>
          </w:p>
        </w:tc>
        <w:tc>
          <w:tcPr>
            <w:tcW w:w="4916" w:type="dxa"/>
          </w:tcPr>
          <w:p w14:paraId="56D05F27" w14:textId="176534F4" w:rsidR="00D84735" w:rsidRPr="00D84735" w:rsidRDefault="006C7D71" w:rsidP="00D84735">
            <w:pPr>
              <w:rPr>
                <w:b/>
                <w:lang w:bidi="en-GB"/>
              </w:rPr>
            </w:pPr>
            <w:r w:rsidRPr="1299628A">
              <w:rPr>
                <w:b/>
                <w:lang w:bidi="en-GB"/>
              </w:rPr>
              <w:lastRenderedPageBreak/>
              <w:t>Council sets policies on licensing as set out in s5 of the 2003 Act other than those contained in Section 7</w:t>
            </w:r>
            <w:r w:rsidR="4C9255F9" w:rsidRPr="1299628A">
              <w:rPr>
                <w:b/>
                <w:lang w:bidi="en-GB"/>
              </w:rPr>
              <w:t xml:space="preserve"> and which the 2003 Act states are a matter for Committee,</w:t>
            </w:r>
            <w:r w:rsidRPr="1299628A">
              <w:rPr>
                <w:b/>
                <w:lang w:bidi="en-GB"/>
              </w:rPr>
              <w:t xml:space="preserve"> including the Cumulative Impact / Selective Licensing Policy</w:t>
            </w:r>
            <w:r w:rsidR="00D84735" w:rsidRPr="1299628A">
              <w:rPr>
                <w:b/>
                <w:lang w:bidi="en-GB"/>
              </w:rPr>
              <w:t xml:space="preserve">. </w:t>
            </w:r>
          </w:p>
          <w:p w14:paraId="3179C4DD" w14:textId="77777777" w:rsidR="006C7D71" w:rsidRPr="006C7D71" w:rsidRDefault="006C7D71" w:rsidP="006C7D71">
            <w:pPr>
              <w:rPr>
                <w:lang w:bidi="en-GB"/>
              </w:rPr>
            </w:pPr>
            <w:r w:rsidRPr="006C7D71">
              <w:rPr>
                <w:lang w:bidi="en-GB"/>
              </w:rPr>
              <w:t>The Licensing and Gambling Acts Committee:</w:t>
            </w:r>
          </w:p>
          <w:p w14:paraId="27823006" w14:textId="77777777" w:rsidR="006C7D71" w:rsidRPr="006C7D71" w:rsidRDefault="006C7D71" w:rsidP="00FD58BB">
            <w:pPr>
              <w:numPr>
                <w:ilvl w:val="0"/>
                <w:numId w:val="39"/>
              </w:numPr>
              <w:rPr>
                <w:lang w:bidi="en-GB"/>
              </w:rPr>
            </w:pPr>
            <w:r w:rsidRPr="006C7D71">
              <w:rPr>
                <w:lang w:bidi="en-GB"/>
              </w:rPr>
              <w:t xml:space="preserve">reviews and recommends those policies reserved to Council under S5 of the 2003 Act </w:t>
            </w:r>
          </w:p>
          <w:p w14:paraId="48791292" w14:textId="77777777" w:rsidR="006C7D71" w:rsidRPr="006C7D71" w:rsidRDefault="006C7D71" w:rsidP="00FD58BB">
            <w:pPr>
              <w:numPr>
                <w:ilvl w:val="0"/>
                <w:numId w:val="39"/>
              </w:numPr>
              <w:rPr>
                <w:lang w:bidi="en-GB"/>
              </w:rPr>
            </w:pPr>
            <w:r w:rsidRPr="006C7D71">
              <w:rPr>
                <w:lang w:bidi="en-GB"/>
              </w:rPr>
              <w:t xml:space="preserve">Approve all other policies not reserved to Council in the 2003 Act, including the Cumulative Impact / Saturation Policy </w:t>
            </w:r>
          </w:p>
          <w:p w14:paraId="67CA5450" w14:textId="77777777" w:rsidR="006C7D71" w:rsidRPr="006C7D71" w:rsidRDefault="006C7D71" w:rsidP="00FD58BB">
            <w:pPr>
              <w:numPr>
                <w:ilvl w:val="0"/>
                <w:numId w:val="39"/>
              </w:numPr>
              <w:rPr>
                <w:lang w:bidi="en-GB"/>
              </w:rPr>
            </w:pPr>
            <w:r w:rsidRPr="006C7D71">
              <w:rPr>
                <w:lang w:bidi="en-GB"/>
              </w:rPr>
              <w:t>reviews and recommends to Council fees and charges as necessary in line with the relevant legislation</w:t>
            </w:r>
          </w:p>
          <w:p w14:paraId="581162C5" w14:textId="77777777" w:rsidR="006C7D71" w:rsidRPr="006C7D71" w:rsidRDefault="006C7D71" w:rsidP="00FD58BB">
            <w:pPr>
              <w:numPr>
                <w:ilvl w:val="0"/>
                <w:numId w:val="39"/>
              </w:numPr>
              <w:rPr>
                <w:lang w:bidi="en-GB"/>
              </w:rPr>
            </w:pPr>
            <w:r w:rsidRPr="006C7D71">
              <w:rPr>
                <w:lang w:bidi="en-GB"/>
              </w:rPr>
              <w:t>appoints licensing and gambling acts casework sub-committees to:</w:t>
            </w:r>
          </w:p>
          <w:p w14:paraId="2E06F403" w14:textId="77777777" w:rsidR="006C7D71" w:rsidRPr="006C7D71" w:rsidRDefault="006C7D71" w:rsidP="00FD58BB">
            <w:pPr>
              <w:numPr>
                <w:ilvl w:val="1"/>
                <w:numId w:val="39"/>
              </w:numPr>
              <w:rPr>
                <w:lang w:bidi="en-GB"/>
              </w:rPr>
            </w:pPr>
            <w:r w:rsidRPr="006C7D71">
              <w:rPr>
                <w:lang w:bidi="en-GB"/>
              </w:rPr>
              <w:t xml:space="preserve">decide whether to give, change to transfer premises licences or club registration </w:t>
            </w:r>
            <w:r w:rsidRPr="006C7D71">
              <w:rPr>
                <w:lang w:bidi="en-GB"/>
              </w:rPr>
              <w:lastRenderedPageBreak/>
              <w:t>certificates when there are objections</w:t>
            </w:r>
          </w:p>
          <w:p w14:paraId="5BCBE5C3" w14:textId="77777777" w:rsidR="006C7D71" w:rsidRPr="006C7D71" w:rsidRDefault="006C7D71" w:rsidP="00FD58BB">
            <w:pPr>
              <w:numPr>
                <w:ilvl w:val="1"/>
                <w:numId w:val="39"/>
              </w:numPr>
              <w:rPr>
                <w:lang w:bidi="en-GB"/>
              </w:rPr>
            </w:pPr>
            <w:r w:rsidRPr="006C7D71">
              <w:rPr>
                <w:lang w:bidi="en-GB"/>
              </w:rPr>
              <w:t>decide whether to give a temporary premises licence to a replacement licence holder when there are objections</w:t>
            </w:r>
          </w:p>
          <w:p w14:paraId="383A5F67" w14:textId="77777777" w:rsidR="006C7D71" w:rsidRPr="006C7D71" w:rsidRDefault="006C7D71" w:rsidP="00FD58BB">
            <w:pPr>
              <w:numPr>
                <w:ilvl w:val="1"/>
                <w:numId w:val="39"/>
              </w:numPr>
              <w:rPr>
                <w:lang w:bidi="en-GB"/>
              </w:rPr>
            </w:pPr>
            <w:r w:rsidRPr="006C7D71">
              <w:rPr>
                <w:lang w:bidi="en-GB"/>
              </w:rPr>
              <w:t>review premises licences and club registration certificates after a closure order</w:t>
            </w:r>
          </w:p>
          <w:p w14:paraId="326ACC09" w14:textId="77777777" w:rsidR="006C7D71" w:rsidRPr="006C7D71" w:rsidRDefault="006C7D71" w:rsidP="00FD58BB">
            <w:pPr>
              <w:numPr>
                <w:ilvl w:val="1"/>
                <w:numId w:val="39"/>
              </w:numPr>
              <w:rPr>
                <w:lang w:bidi="en-GB"/>
              </w:rPr>
            </w:pPr>
            <w:r w:rsidRPr="006C7D71">
              <w:rPr>
                <w:lang w:bidi="en-GB"/>
              </w:rPr>
              <w:t>decide valid applications for a review of a premises licence or club registration certificate</w:t>
            </w:r>
          </w:p>
          <w:p w14:paraId="46223209" w14:textId="77777777" w:rsidR="006C7D71" w:rsidRPr="006C7D71" w:rsidRDefault="006C7D71" w:rsidP="00FD58BB">
            <w:pPr>
              <w:numPr>
                <w:ilvl w:val="1"/>
                <w:numId w:val="39"/>
              </w:numPr>
              <w:rPr>
                <w:lang w:bidi="en-GB"/>
              </w:rPr>
            </w:pPr>
            <w:r w:rsidRPr="006C7D71">
              <w:rPr>
                <w:lang w:bidi="en-GB"/>
              </w:rPr>
              <w:t>deal, when there are objections, with applications for a statement saying the Council expects to give a licence to premises that are yet to be built or converted</w:t>
            </w:r>
          </w:p>
          <w:p w14:paraId="28E66906" w14:textId="77777777" w:rsidR="006C7D71" w:rsidRPr="006C7D71" w:rsidRDefault="006C7D71" w:rsidP="00FD58BB">
            <w:pPr>
              <w:numPr>
                <w:ilvl w:val="1"/>
                <w:numId w:val="39"/>
              </w:numPr>
              <w:rPr>
                <w:lang w:bidi="en-GB"/>
              </w:rPr>
            </w:pPr>
            <w:r w:rsidRPr="006C7D71">
              <w:rPr>
                <w:lang w:bidi="en-GB"/>
              </w:rPr>
              <w:t>decide whether to prevent one-off events when there are objections from the police</w:t>
            </w:r>
          </w:p>
          <w:p w14:paraId="2A57D848" w14:textId="77777777" w:rsidR="006C7D71" w:rsidRPr="006C7D71" w:rsidRDefault="006C7D71" w:rsidP="00FD58BB">
            <w:pPr>
              <w:numPr>
                <w:ilvl w:val="1"/>
                <w:numId w:val="39"/>
              </w:numPr>
              <w:rPr>
                <w:lang w:bidi="en-GB"/>
              </w:rPr>
            </w:pPr>
            <w:r w:rsidRPr="006C7D71">
              <w:rPr>
                <w:lang w:bidi="en-GB"/>
              </w:rPr>
              <w:t>decide applications to change the premises supervisor or appoint a temporary supervisor when there are objections from the police</w:t>
            </w:r>
          </w:p>
          <w:p w14:paraId="0711187A" w14:textId="77777777" w:rsidR="006C7D71" w:rsidRPr="006C7D71" w:rsidRDefault="006C7D71" w:rsidP="00FD58BB">
            <w:pPr>
              <w:numPr>
                <w:ilvl w:val="1"/>
                <w:numId w:val="39"/>
              </w:numPr>
              <w:rPr>
                <w:lang w:bidi="en-GB"/>
              </w:rPr>
            </w:pPr>
            <w:r w:rsidRPr="006C7D71">
              <w:rPr>
                <w:lang w:bidi="en-GB"/>
              </w:rPr>
              <w:t>decide applications for personal licences when there are objections from the police</w:t>
            </w:r>
          </w:p>
          <w:p w14:paraId="35E4BD63" w14:textId="77777777" w:rsidR="006C7D71" w:rsidRPr="006C7D71" w:rsidRDefault="006C7D71" w:rsidP="00FD58BB">
            <w:pPr>
              <w:numPr>
                <w:ilvl w:val="1"/>
                <w:numId w:val="39"/>
              </w:numPr>
              <w:rPr>
                <w:lang w:bidi="en-GB"/>
              </w:rPr>
            </w:pPr>
            <w:r w:rsidRPr="006C7D71">
              <w:rPr>
                <w:lang w:bidi="en-GB"/>
              </w:rPr>
              <w:t>decide whether to withdraw a personal licence on hearing of a conviction</w:t>
            </w:r>
          </w:p>
          <w:p w14:paraId="23425A3B" w14:textId="77777777" w:rsidR="006C7D71" w:rsidRPr="006C7D71" w:rsidRDefault="006C7D71" w:rsidP="00FD58BB">
            <w:pPr>
              <w:numPr>
                <w:ilvl w:val="1"/>
                <w:numId w:val="39"/>
              </w:numPr>
              <w:rPr>
                <w:lang w:bidi="en-GB"/>
              </w:rPr>
            </w:pPr>
            <w:r w:rsidRPr="006C7D71">
              <w:rPr>
                <w:lang w:bidi="en-GB"/>
              </w:rPr>
              <w:lastRenderedPageBreak/>
              <w:t>respond to consultation on an application by another body that gives licences.</w:t>
            </w:r>
          </w:p>
          <w:p w14:paraId="438C460D" w14:textId="77777777" w:rsidR="006C7D71" w:rsidRPr="006C7D71" w:rsidRDefault="006C7D71" w:rsidP="006C7D71">
            <w:pPr>
              <w:rPr>
                <w:lang w:bidi="en-GB"/>
              </w:rPr>
            </w:pPr>
          </w:p>
          <w:p w14:paraId="23E92FA4" w14:textId="77683889" w:rsidR="00A712BE" w:rsidRDefault="006C7D71" w:rsidP="006C7D71">
            <w:r w:rsidRPr="006C7D71">
              <w:rPr>
                <w:lang w:bidi="en-GB"/>
              </w:rPr>
              <w:t>The Director of Planning and Regulation. has responsibility for everything else within the Licensing Act 2003.</w:t>
            </w:r>
          </w:p>
        </w:tc>
        <w:tc>
          <w:tcPr>
            <w:tcW w:w="2155" w:type="dxa"/>
          </w:tcPr>
          <w:p w14:paraId="5AF4B742" w14:textId="6E5CB0DB" w:rsidR="00A712BE" w:rsidRDefault="00A712BE"/>
        </w:tc>
      </w:tr>
    </w:tbl>
    <w:p w14:paraId="5CBD09C5" w14:textId="77777777" w:rsidR="00A712BE" w:rsidRDefault="00A712BE" w:rsidP="008A22C6"/>
    <w:p w14:paraId="7B185735" w14:textId="09867B79" w:rsidR="00B32559" w:rsidRDefault="00B32559" w:rsidP="008A22C6">
      <w:r>
        <w:t>Part 11 Council Procedures</w:t>
      </w:r>
    </w:p>
    <w:p w14:paraId="673F7D05" w14:textId="77777777" w:rsidR="00B32559" w:rsidRDefault="00B32559" w:rsidP="008A22C6"/>
    <w:tbl>
      <w:tblPr>
        <w:tblStyle w:val="TableGrid"/>
        <w:tblW w:w="14174" w:type="dxa"/>
        <w:tblLook w:val="04A0" w:firstRow="1" w:lastRow="0" w:firstColumn="1" w:lastColumn="0" w:noHBand="0" w:noVBand="1"/>
      </w:tblPr>
      <w:tblGrid>
        <w:gridCol w:w="2776"/>
        <w:gridCol w:w="4122"/>
        <w:gridCol w:w="4020"/>
        <w:gridCol w:w="3256"/>
      </w:tblGrid>
      <w:tr w:rsidR="00B32559" w14:paraId="46A44104" w14:textId="77777777" w:rsidTr="4E412A7A">
        <w:tc>
          <w:tcPr>
            <w:tcW w:w="2776" w:type="dxa"/>
          </w:tcPr>
          <w:p w14:paraId="2E791E86" w14:textId="77777777" w:rsidR="00B32559" w:rsidRDefault="00B32559">
            <w:r>
              <w:t>Paragraph</w:t>
            </w:r>
          </w:p>
        </w:tc>
        <w:tc>
          <w:tcPr>
            <w:tcW w:w="4122" w:type="dxa"/>
          </w:tcPr>
          <w:p w14:paraId="7794D138" w14:textId="77777777" w:rsidR="00B32559" w:rsidRDefault="00B32559">
            <w:r>
              <w:t>Current</w:t>
            </w:r>
          </w:p>
        </w:tc>
        <w:tc>
          <w:tcPr>
            <w:tcW w:w="4020" w:type="dxa"/>
          </w:tcPr>
          <w:p w14:paraId="232B49AE" w14:textId="77777777" w:rsidR="00B32559" w:rsidRDefault="00B32559">
            <w:r>
              <w:t>Change</w:t>
            </w:r>
          </w:p>
        </w:tc>
        <w:tc>
          <w:tcPr>
            <w:tcW w:w="3256" w:type="dxa"/>
          </w:tcPr>
          <w:p w14:paraId="4EB66742" w14:textId="77777777" w:rsidR="00B32559" w:rsidRDefault="00B32559">
            <w:r>
              <w:t>Reason</w:t>
            </w:r>
          </w:p>
        </w:tc>
      </w:tr>
      <w:tr w:rsidR="00A90062" w14:paraId="6F932E38" w14:textId="77777777" w:rsidTr="4E412A7A">
        <w:tc>
          <w:tcPr>
            <w:tcW w:w="2776" w:type="dxa"/>
          </w:tcPr>
          <w:p w14:paraId="19C29838" w14:textId="67D1F369" w:rsidR="00A90062" w:rsidRDefault="000E77D9">
            <w:r>
              <w:t>11.3 order of business</w:t>
            </w:r>
          </w:p>
        </w:tc>
        <w:tc>
          <w:tcPr>
            <w:tcW w:w="4122" w:type="dxa"/>
          </w:tcPr>
          <w:p w14:paraId="760B5550" w14:textId="77777777" w:rsidR="000E77D9" w:rsidRPr="000E77D9" w:rsidRDefault="000E77D9" w:rsidP="000E77D9">
            <w:r w:rsidRPr="000E77D9">
              <w:t>The order of business will be:</w:t>
            </w:r>
          </w:p>
          <w:p w14:paraId="2BD4D533" w14:textId="77777777" w:rsidR="000E77D9" w:rsidRPr="000E77D9" w:rsidRDefault="000E77D9" w:rsidP="000E77D9">
            <w:r w:rsidRPr="000E77D9">
              <w:t>Part 1 – Public Business</w:t>
            </w:r>
          </w:p>
          <w:p w14:paraId="1F03D82D" w14:textId="77777777" w:rsidR="000E77D9" w:rsidRPr="000E77D9" w:rsidRDefault="000E77D9" w:rsidP="000E77D9">
            <w:r w:rsidRPr="000E77D9">
              <w:t>(a) Election of chair (if the Lord Mayor and Deputy Lord Mayor are absent)</w:t>
            </w:r>
          </w:p>
          <w:p w14:paraId="7188F73C" w14:textId="77777777" w:rsidR="000E77D9" w:rsidRPr="000E77D9" w:rsidRDefault="000E77D9" w:rsidP="000E77D9">
            <w:r w:rsidRPr="000E77D9">
              <w:t>(b) Apologies for absence</w:t>
            </w:r>
          </w:p>
          <w:p w14:paraId="27FBB71A" w14:textId="77777777" w:rsidR="00A90062" w:rsidRDefault="000E77D9" w:rsidP="000E77D9">
            <w:r w:rsidRPr="000E77D9">
              <w:t>(c) Declarations of interests</w:t>
            </w:r>
          </w:p>
          <w:p w14:paraId="1A24C025" w14:textId="77777777" w:rsidR="007F361B" w:rsidRPr="007F361B" w:rsidRDefault="007F361B" w:rsidP="007F361B">
            <w:r w:rsidRPr="007F361B">
              <w:t>(d) Announcements from the Lord Mayor, Sheriff, Leader, Head of Paid Service,</w:t>
            </w:r>
          </w:p>
          <w:p w14:paraId="0EEC0F8E" w14:textId="77777777" w:rsidR="007F361B" w:rsidRPr="007F361B" w:rsidRDefault="007F361B" w:rsidP="007F361B">
            <w:r w:rsidRPr="007F361B">
              <w:t>Chief Finance Officer and Monitoring Officer</w:t>
            </w:r>
          </w:p>
          <w:p w14:paraId="111D7256" w14:textId="77777777" w:rsidR="007F361B" w:rsidRPr="007F361B" w:rsidRDefault="007F361B" w:rsidP="007F361B">
            <w:r w:rsidRPr="007F361B">
              <w:t>(e) Appointments to committees</w:t>
            </w:r>
          </w:p>
          <w:p w14:paraId="7BCF5B33" w14:textId="2177FDFB" w:rsidR="007F361B" w:rsidRPr="007F361B" w:rsidRDefault="007F361B" w:rsidP="007F361B">
            <w:r w:rsidRPr="007F361B">
              <w:t>(f) Approval of the minutes of the last meeting of Council as a correct record, and</w:t>
            </w:r>
            <w:r>
              <w:t xml:space="preserve"> </w:t>
            </w:r>
            <w:r w:rsidRPr="007F361B">
              <w:t>those of any earlier meetings that have not already been approved</w:t>
            </w:r>
          </w:p>
          <w:p w14:paraId="34738DDE" w14:textId="104DBFCD" w:rsidR="007F361B" w:rsidRPr="007F361B" w:rsidRDefault="007F361B" w:rsidP="007F361B">
            <w:r w:rsidRPr="007F361B">
              <w:t>(g) Public addresses that relate to a decision at the meeting (Part 11.12 and</w:t>
            </w:r>
            <w:r>
              <w:t xml:space="preserve"> </w:t>
            </w:r>
            <w:r w:rsidRPr="007F361B">
              <w:t>11.13)</w:t>
            </w:r>
          </w:p>
          <w:p w14:paraId="0554FA82" w14:textId="4EFF445C" w:rsidR="007F361B" w:rsidRPr="007F361B" w:rsidRDefault="007F361B" w:rsidP="007F361B">
            <w:r w:rsidRPr="007F361B">
              <w:lastRenderedPageBreak/>
              <w:t>(h) Any unfinished business from the last meeting (but motions not dealt with in</w:t>
            </w:r>
            <w:r>
              <w:t xml:space="preserve"> </w:t>
            </w:r>
            <w:r w:rsidRPr="007F361B">
              <w:t>the time available do not count as unfinished business)</w:t>
            </w:r>
          </w:p>
          <w:p w14:paraId="281AF58A" w14:textId="77777777" w:rsidR="007F361B" w:rsidRPr="007F361B" w:rsidRDefault="007F361B" w:rsidP="007F361B">
            <w:r w:rsidRPr="007F361B">
              <w:t>(</w:t>
            </w:r>
            <w:proofErr w:type="spellStart"/>
            <w:r w:rsidRPr="007F361B">
              <w:t>i</w:t>
            </w:r>
            <w:proofErr w:type="spellEnd"/>
            <w:r w:rsidRPr="007F361B">
              <w:t>) Recommendations from the Cabinet</w:t>
            </w:r>
          </w:p>
          <w:p w14:paraId="2D4A7E55" w14:textId="77777777" w:rsidR="007F361B" w:rsidRPr="007F361B" w:rsidRDefault="007F361B" w:rsidP="007F361B">
            <w:r w:rsidRPr="007F361B">
              <w:t>(j) Reports for decision by the meeting</w:t>
            </w:r>
          </w:p>
          <w:p w14:paraId="1DDD5C7F" w14:textId="77777777" w:rsidR="007F361B" w:rsidRPr="007F361B" w:rsidRDefault="007F361B" w:rsidP="007F361B">
            <w:r w:rsidRPr="007F361B">
              <w:t>(k) Minutes from the Cabinet</w:t>
            </w:r>
          </w:p>
          <w:p w14:paraId="503230E7" w14:textId="77777777" w:rsidR="007F361B" w:rsidRPr="007F361B" w:rsidRDefault="007F361B" w:rsidP="007F361B">
            <w:r w:rsidRPr="007F361B">
              <w:t>(l) Questions by councillors to members of the Cabinet and committee chairs</w:t>
            </w:r>
          </w:p>
          <w:p w14:paraId="308AF3AC" w14:textId="77777777" w:rsidR="007F361B" w:rsidRPr="007F361B" w:rsidRDefault="007F361B" w:rsidP="007F361B">
            <w:r w:rsidRPr="007F361B">
              <w:t>(Part 11.11 (b))</w:t>
            </w:r>
          </w:p>
          <w:p w14:paraId="5DB2DA96" w14:textId="77777777" w:rsidR="007F361B" w:rsidRPr="007F361B" w:rsidRDefault="007F361B" w:rsidP="007F361B">
            <w:r w:rsidRPr="007F361B">
              <w:t>(m)Any other business for decision or information including any business for</w:t>
            </w:r>
          </w:p>
          <w:p w14:paraId="317882D0" w14:textId="77777777" w:rsidR="007F361B" w:rsidRPr="007F361B" w:rsidRDefault="007F361B" w:rsidP="007F361B">
            <w:r w:rsidRPr="007F361B">
              <w:t>which a motion to exclude the press and public is to be put to Council</w:t>
            </w:r>
          </w:p>
          <w:p w14:paraId="773F22A0" w14:textId="77777777" w:rsidR="007F361B" w:rsidRPr="007F361B" w:rsidRDefault="007F361B" w:rsidP="007F361B">
            <w:r w:rsidRPr="007F361B">
              <w:t>Part 2 – Public Involvement and Scrutiny</w:t>
            </w:r>
          </w:p>
          <w:p w14:paraId="4C2055C0" w14:textId="77777777" w:rsidR="007F361B" w:rsidRPr="007F361B" w:rsidRDefault="007F361B" w:rsidP="007F361B">
            <w:r w:rsidRPr="007F361B">
              <w:t>(n) Public addresses other than those taken in part 1 of the meeting (Part 11.12</w:t>
            </w:r>
          </w:p>
          <w:p w14:paraId="0F8689E2" w14:textId="77777777" w:rsidR="007F361B" w:rsidRPr="007F361B" w:rsidRDefault="007F361B" w:rsidP="007F361B">
            <w:r w:rsidRPr="007F361B">
              <w:t>and 11.13)</w:t>
            </w:r>
          </w:p>
          <w:p w14:paraId="3764627E" w14:textId="77777777" w:rsidR="007F361B" w:rsidRPr="007F361B" w:rsidRDefault="007F361B" w:rsidP="007F361B">
            <w:r w:rsidRPr="007F361B">
              <w:t>(o) Consideration of petitions (Part 11.15</w:t>
            </w:r>
            <w:proofErr w:type="gramStart"/>
            <w:r w:rsidRPr="007F361B">
              <w:t>);</w:t>
            </w:r>
            <w:proofErr w:type="gramEnd"/>
          </w:p>
          <w:p w14:paraId="212348E0" w14:textId="77777777" w:rsidR="007F361B" w:rsidRPr="007F361B" w:rsidRDefault="007F361B" w:rsidP="007F361B">
            <w:r w:rsidRPr="007F361B">
              <w:t>(p) Reports and questions about organisations the Council is represented on (Part</w:t>
            </w:r>
          </w:p>
          <w:p w14:paraId="61AF8FB1" w14:textId="77777777" w:rsidR="007F361B" w:rsidRPr="007F361B" w:rsidRDefault="007F361B" w:rsidP="007F361B">
            <w:r w:rsidRPr="007F361B">
              <w:t>11.16)</w:t>
            </w:r>
          </w:p>
          <w:p w14:paraId="27285CBC" w14:textId="77777777" w:rsidR="007F361B" w:rsidRPr="007F361B" w:rsidRDefault="007F361B" w:rsidP="007F361B">
            <w:r w:rsidRPr="007F361B">
              <w:t>(q) Report by the Chair of the Scrutiny Committees (Part 11.17)</w:t>
            </w:r>
          </w:p>
          <w:p w14:paraId="527A4D32" w14:textId="77777777" w:rsidR="007F361B" w:rsidRPr="007F361B" w:rsidRDefault="007F361B" w:rsidP="007F361B">
            <w:r w:rsidRPr="007F361B">
              <w:lastRenderedPageBreak/>
              <w:t>(r) Recommendations and reports from scrutiny committees</w:t>
            </w:r>
          </w:p>
          <w:p w14:paraId="38F05A25" w14:textId="77777777" w:rsidR="007F361B" w:rsidRPr="007F361B" w:rsidRDefault="007F361B" w:rsidP="007F361B">
            <w:r w:rsidRPr="007F361B">
              <w:t>Part 3 – Motions – Representing the City</w:t>
            </w:r>
          </w:p>
          <w:p w14:paraId="595668C5" w14:textId="0537EED8" w:rsidR="007F361B" w:rsidRDefault="007F361B" w:rsidP="007F361B">
            <w:r w:rsidRPr="007F361B">
              <w:t>(s) Motions on notice (Part 11.18).</w:t>
            </w:r>
          </w:p>
        </w:tc>
        <w:tc>
          <w:tcPr>
            <w:tcW w:w="4020" w:type="dxa"/>
          </w:tcPr>
          <w:p w14:paraId="08C8EA84" w14:textId="77777777" w:rsidR="007F361B" w:rsidRPr="007F361B" w:rsidRDefault="007F361B" w:rsidP="007F361B">
            <w:r w:rsidRPr="007F361B">
              <w:lastRenderedPageBreak/>
              <w:t>The order of business will be:</w:t>
            </w:r>
          </w:p>
          <w:p w14:paraId="1ED98320" w14:textId="77777777" w:rsidR="007F361B" w:rsidRPr="007F361B" w:rsidRDefault="007F361B" w:rsidP="007F361B">
            <w:r w:rsidRPr="007F361B">
              <w:t>Part 1 – Public Business</w:t>
            </w:r>
          </w:p>
          <w:p w14:paraId="19882CCF" w14:textId="77777777" w:rsidR="007F361B" w:rsidRPr="007F361B" w:rsidRDefault="007F361B" w:rsidP="007F361B">
            <w:r w:rsidRPr="007F361B">
              <w:t>(a) Election of chair (if the Lord Mayor and Deputy Lord Mayor are absent)</w:t>
            </w:r>
          </w:p>
          <w:p w14:paraId="182BADEF" w14:textId="77777777" w:rsidR="007F361B" w:rsidRPr="007F361B" w:rsidRDefault="007F361B" w:rsidP="007F361B">
            <w:r w:rsidRPr="007F361B">
              <w:t>(b) Apologies for absence</w:t>
            </w:r>
          </w:p>
          <w:p w14:paraId="5EBC6E28" w14:textId="77777777" w:rsidR="007F361B" w:rsidRPr="007F361B" w:rsidRDefault="007F361B" w:rsidP="007F361B">
            <w:r w:rsidRPr="007F361B">
              <w:t>(c) Declarations of interests</w:t>
            </w:r>
          </w:p>
          <w:p w14:paraId="7DDAE78B" w14:textId="77777777" w:rsidR="007F361B" w:rsidRPr="007F361B" w:rsidRDefault="007F361B" w:rsidP="007F361B">
            <w:r w:rsidRPr="007F361B">
              <w:t>(d) Announcements from the Lord Mayor, Sheriff, Leader, Head of Paid Service,</w:t>
            </w:r>
          </w:p>
          <w:p w14:paraId="51F1B8BB" w14:textId="77777777" w:rsidR="007F361B" w:rsidRPr="007F361B" w:rsidRDefault="007F361B" w:rsidP="007F361B">
            <w:r w:rsidRPr="007F361B">
              <w:t>Chief Finance Officer and Monitoring Officer</w:t>
            </w:r>
          </w:p>
          <w:p w14:paraId="4148B3E0" w14:textId="77777777" w:rsidR="007F361B" w:rsidRPr="007F361B" w:rsidRDefault="007F361B" w:rsidP="007F361B">
            <w:r w:rsidRPr="007F361B">
              <w:t>(e) Appointments to committees</w:t>
            </w:r>
          </w:p>
          <w:p w14:paraId="1D297F54" w14:textId="77777777" w:rsidR="007F361B" w:rsidRPr="007F361B" w:rsidRDefault="007F361B" w:rsidP="007F361B">
            <w:r w:rsidRPr="007F361B">
              <w:t>(f) Approval of the minutes of the last meeting of Council as a correct record, and those of any earlier meetings that have not already been approved</w:t>
            </w:r>
          </w:p>
          <w:p w14:paraId="5C068305" w14:textId="77777777" w:rsidR="007F361B" w:rsidRPr="007F361B" w:rsidRDefault="007F361B" w:rsidP="007F361B">
            <w:r w:rsidRPr="007F361B">
              <w:t>(g) Public addresses that relate to a decision at the meeting (Part 11.12 and 11.13)</w:t>
            </w:r>
          </w:p>
          <w:p w14:paraId="00DD37ED" w14:textId="77777777" w:rsidR="007F361B" w:rsidRDefault="007F361B" w:rsidP="007F361B">
            <w:r w:rsidRPr="007F361B">
              <w:lastRenderedPageBreak/>
              <w:t>(h) Any unfinished business from the last meeting (but motions not dealt with in the time available do not count as unfinished business)</w:t>
            </w:r>
          </w:p>
          <w:p w14:paraId="21E620C0" w14:textId="02AF142B" w:rsidR="00AE334F" w:rsidRPr="007F361B" w:rsidRDefault="00AE334F" w:rsidP="007F361B">
            <w:pPr>
              <w:rPr>
                <w:b/>
              </w:rPr>
            </w:pPr>
            <w:r w:rsidRPr="3AFCA63E">
              <w:rPr>
                <w:b/>
              </w:rPr>
              <w:t>(</w:t>
            </w:r>
            <w:proofErr w:type="spellStart"/>
            <w:r w:rsidRPr="3AFCA63E">
              <w:rPr>
                <w:b/>
              </w:rPr>
              <w:t>i</w:t>
            </w:r>
            <w:proofErr w:type="spellEnd"/>
            <w:r w:rsidRPr="3AFCA63E">
              <w:rPr>
                <w:b/>
              </w:rPr>
              <w:t>) Urgent Business (Part</w:t>
            </w:r>
            <w:r w:rsidR="00A55857" w:rsidRPr="3AFCA63E">
              <w:rPr>
                <w:b/>
              </w:rPr>
              <w:t xml:space="preserve"> 11.25)</w:t>
            </w:r>
            <w:r w:rsidRPr="3AFCA63E">
              <w:rPr>
                <w:b/>
              </w:rPr>
              <w:t xml:space="preserve"> </w:t>
            </w:r>
          </w:p>
          <w:p w14:paraId="41B74229" w14:textId="1F31D953" w:rsidR="007F361B" w:rsidRPr="007F361B" w:rsidRDefault="007F361B" w:rsidP="007F361B">
            <w:r w:rsidRPr="007F361B">
              <w:t>(</w:t>
            </w:r>
            <w:r w:rsidR="00AE334F">
              <w:t>j</w:t>
            </w:r>
            <w:r w:rsidRPr="007F361B">
              <w:t>) Recommendations from the Cabinet</w:t>
            </w:r>
          </w:p>
          <w:p w14:paraId="2E71E82D" w14:textId="63C22846" w:rsidR="007F361B" w:rsidRPr="007F361B" w:rsidRDefault="007F361B" w:rsidP="007F361B">
            <w:r w:rsidRPr="007F361B">
              <w:t>(</w:t>
            </w:r>
            <w:r w:rsidR="00AE334F">
              <w:t>k</w:t>
            </w:r>
            <w:r w:rsidRPr="007F361B">
              <w:t>) Reports for decision by the meeting</w:t>
            </w:r>
          </w:p>
          <w:p w14:paraId="62E4DE03" w14:textId="714EF3DE" w:rsidR="007F361B" w:rsidRPr="007F361B" w:rsidRDefault="007F361B" w:rsidP="007F361B">
            <w:r w:rsidRPr="007F361B">
              <w:t>(</w:t>
            </w:r>
            <w:r w:rsidR="00AE334F">
              <w:t>l</w:t>
            </w:r>
            <w:r w:rsidRPr="007F361B">
              <w:t>) Minutes from the Cabinet</w:t>
            </w:r>
          </w:p>
          <w:p w14:paraId="012606DD" w14:textId="6410D79E" w:rsidR="007F361B" w:rsidRPr="007F361B" w:rsidRDefault="007F361B" w:rsidP="007F361B">
            <w:r w:rsidRPr="007F361B">
              <w:t>(</w:t>
            </w:r>
            <w:r w:rsidR="00AE334F">
              <w:t>m</w:t>
            </w:r>
            <w:r w:rsidRPr="007F361B">
              <w:t>) Questions by councillors to members of the Cabinet and committee chairs</w:t>
            </w:r>
          </w:p>
          <w:p w14:paraId="2AE203BC" w14:textId="77777777" w:rsidR="007F361B" w:rsidRPr="007F361B" w:rsidRDefault="007F361B" w:rsidP="007F361B">
            <w:r w:rsidRPr="007F361B">
              <w:t>(Part 11.11 (b))</w:t>
            </w:r>
          </w:p>
          <w:p w14:paraId="512A4BAF" w14:textId="120A61CF" w:rsidR="007F361B" w:rsidRPr="007F361B" w:rsidRDefault="007F361B" w:rsidP="007F361B">
            <w:r w:rsidRPr="007F361B">
              <w:t>(</w:t>
            </w:r>
            <w:r w:rsidR="00AE334F">
              <w:t>n</w:t>
            </w:r>
            <w:r w:rsidRPr="007F361B">
              <w:t>)Any other business for decision or information including any business for</w:t>
            </w:r>
            <w:r w:rsidR="00AE334F">
              <w:t xml:space="preserve"> </w:t>
            </w:r>
            <w:r w:rsidRPr="007F361B">
              <w:t>which a motion to exclude the press and public is to be put to Council</w:t>
            </w:r>
          </w:p>
          <w:p w14:paraId="5EA66944" w14:textId="77777777" w:rsidR="007F361B" w:rsidRPr="007F361B" w:rsidRDefault="007F361B" w:rsidP="007F361B">
            <w:r w:rsidRPr="007F361B">
              <w:t>Part 2 – Public Involvement and Scrutiny</w:t>
            </w:r>
          </w:p>
          <w:p w14:paraId="623DACC0" w14:textId="60063BAB" w:rsidR="007F361B" w:rsidRPr="007F361B" w:rsidRDefault="007F361B" w:rsidP="007F361B">
            <w:r w:rsidRPr="007F361B">
              <w:t>(</w:t>
            </w:r>
            <w:r w:rsidR="00AE334F">
              <w:t>o</w:t>
            </w:r>
            <w:r w:rsidRPr="007F361B">
              <w:t>) Public addresses other than those taken in part 1 of the meeting (Part 11.12</w:t>
            </w:r>
            <w:r w:rsidR="00AE334F">
              <w:t xml:space="preserve"> </w:t>
            </w:r>
            <w:r w:rsidRPr="007F361B">
              <w:t>and 11.13)</w:t>
            </w:r>
          </w:p>
          <w:p w14:paraId="73193583" w14:textId="1D044372" w:rsidR="007F361B" w:rsidRPr="007F361B" w:rsidRDefault="007F361B" w:rsidP="007F361B">
            <w:r w:rsidRPr="007F361B">
              <w:t>(</w:t>
            </w:r>
            <w:r w:rsidR="00AE334F">
              <w:t>p</w:t>
            </w:r>
            <w:r w:rsidRPr="007F361B">
              <w:t>) Consideration of petitions (Part 11.15</w:t>
            </w:r>
            <w:proofErr w:type="gramStart"/>
            <w:r w:rsidRPr="007F361B">
              <w:t>);</w:t>
            </w:r>
            <w:proofErr w:type="gramEnd"/>
          </w:p>
          <w:p w14:paraId="2926D4C8" w14:textId="5037892F" w:rsidR="007F361B" w:rsidRPr="007F361B" w:rsidRDefault="007F361B" w:rsidP="007F361B">
            <w:r w:rsidRPr="007F361B">
              <w:t>(</w:t>
            </w:r>
            <w:r w:rsidR="00AE334F">
              <w:t>q</w:t>
            </w:r>
            <w:r w:rsidRPr="007F361B">
              <w:t>) Reports and questions about organisations the Council is represented on (Part</w:t>
            </w:r>
          </w:p>
          <w:p w14:paraId="51BDCF9A" w14:textId="77777777" w:rsidR="007F361B" w:rsidRPr="007F361B" w:rsidRDefault="007F361B" w:rsidP="007F361B">
            <w:r w:rsidRPr="007F361B">
              <w:t>11.16)</w:t>
            </w:r>
          </w:p>
          <w:p w14:paraId="79D223B4" w14:textId="17439038" w:rsidR="007F361B" w:rsidRPr="007F361B" w:rsidRDefault="007F361B" w:rsidP="007F361B">
            <w:r w:rsidRPr="007F361B">
              <w:t>(</w:t>
            </w:r>
            <w:r w:rsidR="00AE334F">
              <w:t>r</w:t>
            </w:r>
            <w:r w:rsidRPr="007F361B">
              <w:t>) Report by the Chair of the Scrutiny Committees (Part 11.17)</w:t>
            </w:r>
          </w:p>
          <w:p w14:paraId="0DB0ABA7" w14:textId="290EAFCA" w:rsidR="007F361B" w:rsidRPr="007F361B" w:rsidRDefault="007F361B" w:rsidP="007F361B">
            <w:r w:rsidRPr="007F361B">
              <w:lastRenderedPageBreak/>
              <w:t>(</w:t>
            </w:r>
            <w:r w:rsidR="00AE334F">
              <w:t>s</w:t>
            </w:r>
            <w:r w:rsidRPr="007F361B">
              <w:t>) Recommendations and reports from scrutiny committees</w:t>
            </w:r>
          </w:p>
          <w:p w14:paraId="4DB5D180" w14:textId="77777777" w:rsidR="007F361B" w:rsidRPr="007F361B" w:rsidRDefault="007F361B" w:rsidP="007F361B">
            <w:r w:rsidRPr="007F361B">
              <w:t>Part 3 – Motions – Representing the City</w:t>
            </w:r>
          </w:p>
          <w:p w14:paraId="62FE31E5" w14:textId="10E7FCDB" w:rsidR="00A90062" w:rsidRDefault="007F361B" w:rsidP="007F361B">
            <w:r w:rsidRPr="007F361B">
              <w:t>(</w:t>
            </w:r>
            <w:r w:rsidR="00AE334F">
              <w:t>t</w:t>
            </w:r>
            <w:r w:rsidRPr="007F361B">
              <w:t>) Motions on notice (Part 11.18).</w:t>
            </w:r>
          </w:p>
        </w:tc>
        <w:tc>
          <w:tcPr>
            <w:tcW w:w="3256" w:type="dxa"/>
          </w:tcPr>
          <w:p w14:paraId="4CCD0059" w14:textId="64CD636C" w:rsidR="00A90062" w:rsidRDefault="00FB3756">
            <w:r>
              <w:lastRenderedPageBreak/>
              <w:t>To include the provision for urgent business within the order of business for Council. Details of this provision is found at part 11.25 of the Constitution</w:t>
            </w:r>
          </w:p>
        </w:tc>
      </w:tr>
      <w:tr w:rsidR="006B4DCD" w14:paraId="75FD0186" w14:textId="77777777" w:rsidTr="4E412A7A">
        <w:tc>
          <w:tcPr>
            <w:tcW w:w="2776" w:type="dxa"/>
          </w:tcPr>
          <w:p w14:paraId="75F9A471" w14:textId="4DEA29B8" w:rsidR="006B4DCD" w:rsidRDefault="00C46858">
            <w:r>
              <w:lastRenderedPageBreak/>
              <w:t>11.1</w:t>
            </w:r>
            <w:r w:rsidR="009811F0">
              <w:t>3</w:t>
            </w:r>
            <w:r>
              <w:t xml:space="preserve"> rejecting addresses</w:t>
            </w:r>
          </w:p>
          <w:p w14:paraId="0B8FD774" w14:textId="2B4F5355" w:rsidR="008125AB" w:rsidRDefault="008125AB"/>
        </w:tc>
        <w:tc>
          <w:tcPr>
            <w:tcW w:w="4122" w:type="dxa"/>
          </w:tcPr>
          <w:p w14:paraId="1C163CE3" w14:textId="77777777" w:rsidR="00421B00" w:rsidRPr="00421B00" w:rsidRDefault="00421B00" w:rsidP="00421B00">
            <w:pPr>
              <w:autoSpaceDE w:val="0"/>
              <w:autoSpaceDN w:val="0"/>
              <w:adjustRightInd w:val="0"/>
            </w:pPr>
            <w:r w:rsidRPr="00421B00">
              <w:t>The Director of Law, Governance and Strategy can reject a public address or a question on notice by a councillor, and the Lord Mayor can reject an address or question without notice, if:</w:t>
            </w:r>
          </w:p>
          <w:p w14:paraId="1C2A8C1C" w14:textId="77777777" w:rsidR="00421B00" w:rsidRPr="00421B00" w:rsidRDefault="00421B00" w:rsidP="00421B00">
            <w:pPr>
              <w:numPr>
                <w:ilvl w:val="0"/>
                <w:numId w:val="30"/>
              </w:numPr>
              <w:autoSpaceDE w:val="0"/>
              <w:autoSpaceDN w:val="0"/>
              <w:adjustRightInd w:val="0"/>
            </w:pPr>
            <w:r w:rsidRPr="00421B00">
              <w:t xml:space="preserve">it is not about something the Council is responsible for, unless it directly affects people in the City, the Council is able to make representations on the issue. </w:t>
            </w:r>
          </w:p>
          <w:p w14:paraId="274DD821" w14:textId="77777777" w:rsidR="00421B00" w:rsidRPr="00421B00" w:rsidRDefault="00421B00" w:rsidP="00421B00">
            <w:pPr>
              <w:numPr>
                <w:ilvl w:val="0"/>
                <w:numId w:val="30"/>
              </w:numPr>
              <w:autoSpaceDE w:val="0"/>
              <w:autoSpaceDN w:val="0"/>
              <w:adjustRightInd w:val="0"/>
            </w:pPr>
            <w:r w:rsidRPr="00421B00">
              <w:t>In all cases where it is considered potentially defamatory, or otherwise frivolous, trivial or offensive</w:t>
            </w:r>
          </w:p>
          <w:p w14:paraId="7069282D" w14:textId="77777777" w:rsidR="00421B00" w:rsidRPr="00421B00" w:rsidRDefault="00421B00" w:rsidP="00421B00">
            <w:pPr>
              <w:numPr>
                <w:ilvl w:val="0"/>
                <w:numId w:val="30"/>
              </w:numPr>
              <w:autoSpaceDE w:val="0"/>
              <w:autoSpaceDN w:val="0"/>
              <w:adjustRightInd w:val="0"/>
            </w:pPr>
            <w:r w:rsidRPr="00421B00">
              <w:t>it requires the Council to make public exempt or confidential information (Part 15.4)</w:t>
            </w:r>
          </w:p>
          <w:p w14:paraId="0D373D6A" w14:textId="77777777" w:rsidR="00421B00" w:rsidRPr="00421B00" w:rsidRDefault="00421B00" w:rsidP="00421B00">
            <w:pPr>
              <w:numPr>
                <w:ilvl w:val="0"/>
                <w:numId w:val="30"/>
              </w:numPr>
              <w:autoSpaceDE w:val="0"/>
              <w:autoSpaceDN w:val="0"/>
              <w:adjustRightInd w:val="0"/>
            </w:pPr>
            <w:r w:rsidRPr="00421B00">
              <w:t xml:space="preserve">it relates to individual personal circumstances </w:t>
            </w:r>
          </w:p>
          <w:p w14:paraId="1B3BB0C0" w14:textId="77777777" w:rsidR="00421B00" w:rsidRPr="00421B00" w:rsidRDefault="00421B00" w:rsidP="00421B00">
            <w:pPr>
              <w:numPr>
                <w:ilvl w:val="0"/>
                <w:numId w:val="30"/>
              </w:numPr>
              <w:autoSpaceDE w:val="0"/>
              <w:autoSpaceDN w:val="0"/>
              <w:adjustRightInd w:val="0"/>
            </w:pPr>
            <w:r w:rsidRPr="00421B00">
              <w:t xml:space="preserve">a substantially similar address has been submitted on the topic within the last six months, </w:t>
            </w:r>
            <w:proofErr w:type="gramStart"/>
            <w:r w:rsidRPr="00421B00">
              <w:t>whether or not</w:t>
            </w:r>
            <w:proofErr w:type="gramEnd"/>
            <w:r w:rsidRPr="00421B00">
              <w:t xml:space="preserve"> by the same individual</w:t>
            </w:r>
          </w:p>
          <w:p w14:paraId="7AC26011" w14:textId="77777777" w:rsidR="006B4DCD" w:rsidRDefault="00421B00" w:rsidP="5A0D345E">
            <w:pPr>
              <w:numPr>
                <w:ilvl w:val="0"/>
                <w:numId w:val="30"/>
              </w:numPr>
              <w:autoSpaceDE w:val="0"/>
              <w:autoSpaceDN w:val="0"/>
              <w:adjustRightInd w:val="0"/>
            </w:pPr>
            <w:r w:rsidRPr="00421B00">
              <w:lastRenderedPageBreak/>
              <w:t>the request is made in relation to a matter for decision before Council but relates solely to the wider topic and not the recommendations for consideration</w:t>
            </w:r>
          </w:p>
          <w:p w14:paraId="284931AB" w14:textId="0DEC5F45" w:rsidR="009811F0" w:rsidRPr="00421B00" w:rsidRDefault="009811F0" w:rsidP="009811F0">
            <w:pPr>
              <w:autoSpaceDE w:val="0"/>
              <w:autoSpaceDN w:val="0"/>
              <w:adjustRightInd w:val="0"/>
            </w:pPr>
            <w:r w:rsidRPr="005517ED">
              <w:t>If an address or question is rejected by the Director of Law, Governance and Strategy or the Lord Mayor reasons must be given.</w:t>
            </w:r>
          </w:p>
        </w:tc>
        <w:tc>
          <w:tcPr>
            <w:tcW w:w="4020" w:type="dxa"/>
          </w:tcPr>
          <w:p w14:paraId="1D3CB567" w14:textId="77777777" w:rsidR="009811F0" w:rsidRPr="00421B00" w:rsidRDefault="009811F0" w:rsidP="009811F0">
            <w:pPr>
              <w:autoSpaceDE w:val="0"/>
              <w:autoSpaceDN w:val="0"/>
              <w:adjustRightInd w:val="0"/>
            </w:pPr>
            <w:r w:rsidRPr="00421B00">
              <w:lastRenderedPageBreak/>
              <w:t>The Director of Law, Governance and Strategy can reject a public address or a question on notice by a councillor, and the Lord Mayor can reject an address or question without notice, if:</w:t>
            </w:r>
          </w:p>
          <w:p w14:paraId="1C462B9A" w14:textId="0856922F" w:rsidR="009811F0" w:rsidRDefault="00A9741C" w:rsidP="00A9741C">
            <w:pPr>
              <w:pStyle w:val="ListParagraph"/>
              <w:numPr>
                <w:ilvl w:val="0"/>
                <w:numId w:val="30"/>
              </w:numPr>
            </w:pPr>
            <w:r w:rsidRPr="64F111F9">
              <w:rPr>
                <w:b/>
              </w:rPr>
              <w:t>It is not in a full prose format but is provided in short bullet points and does not reflect a copy of a speech to be made in its entirety</w:t>
            </w:r>
            <w:r w:rsidRPr="00A9741C">
              <w:t xml:space="preserve"> </w:t>
            </w:r>
          </w:p>
          <w:p w14:paraId="3D07FBDF" w14:textId="1CEBC736" w:rsidR="009811F0" w:rsidRPr="00421B00" w:rsidRDefault="009811F0" w:rsidP="009811F0">
            <w:pPr>
              <w:numPr>
                <w:ilvl w:val="0"/>
                <w:numId w:val="30"/>
              </w:numPr>
              <w:autoSpaceDE w:val="0"/>
              <w:autoSpaceDN w:val="0"/>
              <w:adjustRightInd w:val="0"/>
            </w:pPr>
            <w:r w:rsidRPr="00421B00">
              <w:t xml:space="preserve">it is not about something the Council is responsible for, unless it directly affects people in the City, the Council is able to make representations on the issue. </w:t>
            </w:r>
          </w:p>
          <w:p w14:paraId="7656707A" w14:textId="77777777" w:rsidR="009811F0" w:rsidRPr="00421B00" w:rsidRDefault="009811F0" w:rsidP="009811F0">
            <w:pPr>
              <w:numPr>
                <w:ilvl w:val="0"/>
                <w:numId w:val="30"/>
              </w:numPr>
              <w:autoSpaceDE w:val="0"/>
              <w:autoSpaceDN w:val="0"/>
              <w:adjustRightInd w:val="0"/>
            </w:pPr>
            <w:r w:rsidRPr="00421B00">
              <w:t>In all cases where it is considered potentially defamatory, or otherwise frivolous, trivial or offensive</w:t>
            </w:r>
          </w:p>
          <w:p w14:paraId="6D25E9AF" w14:textId="77777777" w:rsidR="009811F0" w:rsidRPr="00421B00" w:rsidRDefault="009811F0" w:rsidP="009811F0">
            <w:pPr>
              <w:numPr>
                <w:ilvl w:val="0"/>
                <w:numId w:val="30"/>
              </w:numPr>
              <w:autoSpaceDE w:val="0"/>
              <w:autoSpaceDN w:val="0"/>
              <w:adjustRightInd w:val="0"/>
            </w:pPr>
            <w:r w:rsidRPr="00421B00">
              <w:t>it requires the Council to make public exempt or confidential information (Part 15.4)</w:t>
            </w:r>
          </w:p>
          <w:p w14:paraId="6282D808" w14:textId="77777777" w:rsidR="009811F0" w:rsidRPr="00421B00" w:rsidRDefault="009811F0" w:rsidP="009811F0">
            <w:pPr>
              <w:numPr>
                <w:ilvl w:val="0"/>
                <w:numId w:val="30"/>
              </w:numPr>
              <w:autoSpaceDE w:val="0"/>
              <w:autoSpaceDN w:val="0"/>
              <w:adjustRightInd w:val="0"/>
            </w:pPr>
            <w:r w:rsidRPr="00421B00">
              <w:t xml:space="preserve">it relates to individual </w:t>
            </w:r>
            <w:r w:rsidRPr="00421B00">
              <w:lastRenderedPageBreak/>
              <w:t xml:space="preserve">personal circumstances </w:t>
            </w:r>
          </w:p>
          <w:p w14:paraId="50A695AE" w14:textId="77777777" w:rsidR="009811F0" w:rsidRPr="00421B00" w:rsidRDefault="009811F0" w:rsidP="009811F0">
            <w:pPr>
              <w:numPr>
                <w:ilvl w:val="0"/>
                <w:numId w:val="30"/>
              </w:numPr>
              <w:autoSpaceDE w:val="0"/>
              <w:autoSpaceDN w:val="0"/>
              <w:adjustRightInd w:val="0"/>
            </w:pPr>
            <w:r w:rsidRPr="00421B00">
              <w:t xml:space="preserve">a substantially similar address has been submitted on the topic within the last six months, </w:t>
            </w:r>
            <w:proofErr w:type="gramStart"/>
            <w:r w:rsidRPr="00421B00">
              <w:t>whether or not</w:t>
            </w:r>
            <w:proofErr w:type="gramEnd"/>
            <w:r w:rsidRPr="00421B00">
              <w:t xml:space="preserve"> by the same individual</w:t>
            </w:r>
          </w:p>
          <w:p w14:paraId="21C907D5" w14:textId="77777777" w:rsidR="009811F0" w:rsidRDefault="009811F0" w:rsidP="009811F0">
            <w:pPr>
              <w:numPr>
                <w:ilvl w:val="0"/>
                <w:numId w:val="30"/>
              </w:numPr>
              <w:autoSpaceDE w:val="0"/>
              <w:autoSpaceDN w:val="0"/>
              <w:adjustRightInd w:val="0"/>
            </w:pPr>
            <w:r w:rsidRPr="00421B00">
              <w:t>the request is made in relation to a matter for decision before Council but relates solely to the wider topic and not the recommendations for consideration</w:t>
            </w:r>
          </w:p>
          <w:p w14:paraId="1B032D43" w14:textId="383E4521" w:rsidR="006B4DCD" w:rsidRPr="005517ED" w:rsidRDefault="009811F0" w:rsidP="009811F0">
            <w:pPr>
              <w:autoSpaceDE w:val="0"/>
              <w:autoSpaceDN w:val="0"/>
              <w:adjustRightInd w:val="0"/>
            </w:pPr>
            <w:r w:rsidRPr="005517ED">
              <w:t>If an address or question is rejected by the Director of Law, Governance and Strategy or the Lord Mayor reasons must be given.</w:t>
            </w:r>
          </w:p>
        </w:tc>
        <w:tc>
          <w:tcPr>
            <w:tcW w:w="3256" w:type="dxa"/>
          </w:tcPr>
          <w:p w14:paraId="63EC2965" w14:textId="7B08B63B" w:rsidR="006B4DCD" w:rsidRPr="00912B87" w:rsidRDefault="008E5AA5">
            <w:r>
              <w:lastRenderedPageBreak/>
              <w:t>This will ensure the full address has been received and reviewed by the Monitoring Officer</w:t>
            </w:r>
          </w:p>
        </w:tc>
      </w:tr>
    </w:tbl>
    <w:p w14:paraId="56957AA4" w14:textId="77777777" w:rsidR="00B32559" w:rsidRDefault="00B32559" w:rsidP="008A22C6"/>
    <w:p w14:paraId="5A8F4537" w14:textId="77777777" w:rsidR="00B32559" w:rsidRDefault="00B32559" w:rsidP="008A22C6"/>
    <w:p w14:paraId="1B1F479D" w14:textId="3678FD04" w:rsidR="00B32559" w:rsidRDefault="00F5352B" w:rsidP="008A22C6">
      <w:r>
        <w:t>Part 12 Cabinet Procedures</w:t>
      </w:r>
    </w:p>
    <w:p w14:paraId="0348594E" w14:textId="77777777" w:rsidR="00F5352B" w:rsidRDefault="00F5352B" w:rsidP="008A22C6"/>
    <w:tbl>
      <w:tblPr>
        <w:tblStyle w:val="TableGrid"/>
        <w:tblW w:w="0" w:type="auto"/>
        <w:tblLook w:val="04A0" w:firstRow="1" w:lastRow="0" w:firstColumn="1" w:lastColumn="0" w:noHBand="0" w:noVBand="1"/>
      </w:tblPr>
      <w:tblGrid>
        <w:gridCol w:w="1951"/>
        <w:gridCol w:w="4111"/>
        <w:gridCol w:w="4568"/>
        <w:gridCol w:w="3544"/>
      </w:tblGrid>
      <w:tr w:rsidR="00F5352B" w14:paraId="03C00F63" w14:textId="77777777" w:rsidTr="4E412A7A">
        <w:tc>
          <w:tcPr>
            <w:tcW w:w="1951" w:type="dxa"/>
          </w:tcPr>
          <w:p w14:paraId="05A1368C" w14:textId="6F624FAB" w:rsidR="00F5352B" w:rsidRDefault="00F5352B" w:rsidP="008A22C6">
            <w:r>
              <w:t>Paragraph</w:t>
            </w:r>
          </w:p>
        </w:tc>
        <w:tc>
          <w:tcPr>
            <w:tcW w:w="4111" w:type="dxa"/>
          </w:tcPr>
          <w:p w14:paraId="14B65481" w14:textId="66CEA363" w:rsidR="00F5352B" w:rsidRDefault="00F5352B" w:rsidP="008A22C6">
            <w:r>
              <w:t>Current</w:t>
            </w:r>
          </w:p>
        </w:tc>
        <w:tc>
          <w:tcPr>
            <w:tcW w:w="4568" w:type="dxa"/>
          </w:tcPr>
          <w:p w14:paraId="31D4A2D2" w14:textId="53C2C1EF" w:rsidR="00F5352B" w:rsidRDefault="00F5352B" w:rsidP="008A22C6">
            <w:r>
              <w:t>Change</w:t>
            </w:r>
          </w:p>
        </w:tc>
        <w:tc>
          <w:tcPr>
            <w:tcW w:w="3544" w:type="dxa"/>
          </w:tcPr>
          <w:p w14:paraId="4577107B" w14:textId="78DE4DD7" w:rsidR="00F5352B" w:rsidRDefault="00F5352B" w:rsidP="008A22C6">
            <w:r>
              <w:t>Reason</w:t>
            </w:r>
          </w:p>
        </w:tc>
      </w:tr>
      <w:tr w:rsidR="003C2D22" w14:paraId="02F25576" w14:textId="77777777" w:rsidTr="4E412A7A">
        <w:tc>
          <w:tcPr>
            <w:tcW w:w="1951" w:type="dxa"/>
          </w:tcPr>
          <w:p w14:paraId="392F42B2" w14:textId="171FBCAC" w:rsidR="003C2D22" w:rsidRDefault="003C2D22" w:rsidP="003C2D22">
            <w:r w:rsidRPr="00181E54">
              <w:t>12.</w:t>
            </w:r>
            <w:r>
              <w:t>10 Addresses from Members of the Public</w:t>
            </w:r>
          </w:p>
        </w:tc>
        <w:tc>
          <w:tcPr>
            <w:tcW w:w="4111" w:type="dxa"/>
          </w:tcPr>
          <w:p w14:paraId="2C51796F" w14:textId="38A2669A" w:rsidR="00612186" w:rsidRDefault="00612186" w:rsidP="00612186">
            <w:r>
              <w:t xml:space="preserve">Members of the public can submit addresses in writing about any item for decision at the meeting. </w:t>
            </w:r>
            <w:r w:rsidRPr="3E851F21">
              <w:rPr>
                <w:b/>
              </w:rPr>
              <w:t>Questions, stating the relevant agenda item, must be received by the Director of Law, Governance and Strategy by 5.00pm three clear working days before the meeting</w:t>
            </w:r>
            <w:r>
              <w:t xml:space="preserve">. </w:t>
            </w:r>
            <w:r w:rsidR="00A55562">
              <w:t xml:space="preserve">An address may last for no more than five minutes. </w:t>
            </w:r>
            <w:r>
              <w:t xml:space="preserve">Addresses </w:t>
            </w:r>
            <w:r>
              <w:lastRenderedPageBreak/>
              <w:t>can be submitted either by letter or by email (cabinet@oxford.gov.uk).</w:t>
            </w:r>
          </w:p>
          <w:p w14:paraId="4CAC6E51" w14:textId="77777777" w:rsidR="00612186" w:rsidRDefault="00612186" w:rsidP="00612186">
            <w:r>
              <w:t>Responses to the addresses will be provided in writing at the meeting; supplementary addresses will not be allowed. If it is not possible to provide an answer at the meeting it will be included in the minutes.</w:t>
            </w:r>
          </w:p>
          <w:p w14:paraId="0E10EED9" w14:textId="77777777" w:rsidR="00612186" w:rsidRDefault="00612186" w:rsidP="00612186">
            <w:r>
              <w:t>The Chair has discretion in exceptional circumstances to agree that a submitted address or related statement (dealing with matters that appear on the agenda) can be asked verbally at the meeting. In these cases, the address is limited to 3 minutes and will be answered verbally by the Chair or another Cabinet member or an officer of the Council.</w:t>
            </w:r>
          </w:p>
          <w:p w14:paraId="3AA7B101" w14:textId="77777777" w:rsidR="00612186" w:rsidRDefault="00612186" w:rsidP="00612186">
            <w:r>
              <w:t>For this agenda item the Chair’s decision is final.</w:t>
            </w:r>
          </w:p>
          <w:p w14:paraId="651E6E85" w14:textId="4E3E59B7" w:rsidR="003C2D22" w:rsidRDefault="00612186" w:rsidP="00612186">
            <w:r>
              <w:t>There will be 15 minutes in total for this item.</w:t>
            </w:r>
          </w:p>
        </w:tc>
        <w:tc>
          <w:tcPr>
            <w:tcW w:w="4568" w:type="dxa"/>
          </w:tcPr>
          <w:p w14:paraId="19C5E398" w14:textId="799ED3E9" w:rsidR="00A55562" w:rsidRPr="00D318C4" w:rsidRDefault="00A55562" w:rsidP="00A55562">
            <w:pPr>
              <w:rPr>
                <w:b/>
                <w:bCs/>
              </w:rPr>
            </w:pPr>
            <w:r>
              <w:lastRenderedPageBreak/>
              <w:t>Members of the public can submit addresses in writing about any item for decision at the meeting.</w:t>
            </w:r>
            <w:r w:rsidRPr="6F53C8F5">
              <w:rPr>
                <w:b/>
              </w:rPr>
              <w:t xml:space="preserve"> The full text of the address, stating the relevant agenda item, must be received by the Director of Law, Governance and Strategy by 5.00pm three clear working days before the meeting. </w:t>
            </w:r>
            <w:r>
              <w:t xml:space="preserve">An address may last for no more than five minutes. </w:t>
            </w:r>
            <w:r w:rsidRPr="00D318C4">
              <w:rPr>
                <w:b/>
                <w:bCs/>
              </w:rPr>
              <w:t xml:space="preserve">The public speaker must </w:t>
            </w:r>
            <w:r w:rsidRPr="00D318C4">
              <w:rPr>
                <w:b/>
                <w:bCs/>
              </w:rPr>
              <w:lastRenderedPageBreak/>
              <w:t xml:space="preserve">stick to the submitted address and the Leader has discretion to curtail the address if the public speaker departs from the submitted address. </w:t>
            </w:r>
          </w:p>
          <w:p w14:paraId="57B90001" w14:textId="5A5DC613" w:rsidR="00A55562" w:rsidRDefault="00A55562" w:rsidP="00A55562">
            <w:r>
              <w:t>Addresses can be submitted either by letter or by email (</w:t>
            </w:r>
            <w:hyperlink r:id="rId9" w:history="1">
              <w:r w:rsidR="00C96660" w:rsidRPr="004119EA">
                <w:rPr>
                  <w:rStyle w:val="Hyperlink"/>
                </w:rPr>
                <w:t>cabinetreports@oxford.gov.uk</w:t>
              </w:r>
            </w:hyperlink>
            <w:r>
              <w:t>).</w:t>
            </w:r>
          </w:p>
          <w:p w14:paraId="6F4212A2" w14:textId="77777777" w:rsidR="00A55562" w:rsidRPr="00D318C4" w:rsidRDefault="00A55562" w:rsidP="00A55562">
            <w:pPr>
              <w:rPr>
                <w:b/>
                <w:bCs/>
              </w:rPr>
            </w:pPr>
            <w:r w:rsidRPr="00D318C4">
              <w:rPr>
                <w:b/>
                <w:bCs/>
              </w:rPr>
              <w:t>Addresses may be rejected by the Monitoring Officer on the basis as set out at Part 11.13 of this Constitution.</w:t>
            </w:r>
          </w:p>
          <w:p w14:paraId="54D1BCBF" w14:textId="77777777" w:rsidR="00A55562" w:rsidRDefault="00A55562" w:rsidP="00A55562">
            <w:r>
              <w:t>Responses to the addresses will be provided in writing at the meeting; supplementary addresses will not be allowed. If it is not possible to provide an answer at the meeting it will be included in the minutes.</w:t>
            </w:r>
          </w:p>
          <w:p w14:paraId="0D42DACF" w14:textId="77777777" w:rsidR="00A55562" w:rsidRDefault="00A55562" w:rsidP="00A55562">
            <w:r>
              <w:t xml:space="preserve">The Chair has discretion in exceptional circumstances to agree that a submitted address or related statement (dealing with matters that appear on the agenda) can be asked verbally at the meeting. In these cases, the address is limited to 3 </w:t>
            </w:r>
            <w:proofErr w:type="gramStart"/>
            <w:r>
              <w:t>minutes, and</w:t>
            </w:r>
            <w:proofErr w:type="gramEnd"/>
            <w:r>
              <w:t xml:space="preserve"> will be answered verbally by the Chair or another Cabinet member or an officer of the Council.</w:t>
            </w:r>
          </w:p>
          <w:p w14:paraId="5B82C592" w14:textId="58D0EE7F" w:rsidR="009A13DE" w:rsidRDefault="00A55562" w:rsidP="00A55562">
            <w:r>
              <w:t>For this agenda item the Chair’s decision is final.</w:t>
            </w:r>
          </w:p>
        </w:tc>
        <w:tc>
          <w:tcPr>
            <w:tcW w:w="3544" w:type="dxa"/>
          </w:tcPr>
          <w:p w14:paraId="42E26966" w14:textId="3E421C54" w:rsidR="003C2D22" w:rsidRDefault="008E5AA5" w:rsidP="00886239">
            <w:r>
              <w:lastRenderedPageBreak/>
              <w:t>This will ensure the full address has been received and reviewed by the Monitoring Officer</w:t>
            </w:r>
            <w:r w:rsidR="53A3E3B1">
              <w:t xml:space="preserve"> to avoid any issues on the day of the meeting leading to a need to interrupt a speaker </w:t>
            </w:r>
          </w:p>
        </w:tc>
      </w:tr>
    </w:tbl>
    <w:p w14:paraId="76E94D79" w14:textId="77777777" w:rsidR="00F5352B" w:rsidRDefault="00F5352B" w:rsidP="008A22C6"/>
    <w:p w14:paraId="5F1D9054" w14:textId="77777777" w:rsidR="00F5352B" w:rsidRDefault="00F5352B" w:rsidP="008A22C6"/>
    <w:p w14:paraId="2F49C905" w14:textId="77777777" w:rsidR="00F5352B" w:rsidRDefault="00F5352B" w:rsidP="008A22C6"/>
    <w:p w14:paraId="4FF7C3F3" w14:textId="0C36D9AF" w:rsidR="008A22C6" w:rsidRDefault="00F5352B" w:rsidP="008A22C6">
      <w:r>
        <w:t>Part 13 Scrutiny Committee Procedures</w:t>
      </w:r>
    </w:p>
    <w:p w14:paraId="5E6DA247" w14:textId="77777777" w:rsidR="00F5352B" w:rsidRDefault="00F5352B" w:rsidP="008A22C6"/>
    <w:tbl>
      <w:tblPr>
        <w:tblStyle w:val="TableGrid"/>
        <w:tblW w:w="0" w:type="auto"/>
        <w:tblLook w:val="04A0" w:firstRow="1" w:lastRow="0" w:firstColumn="1" w:lastColumn="0" w:noHBand="0" w:noVBand="1"/>
      </w:tblPr>
      <w:tblGrid>
        <w:gridCol w:w="2311"/>
        <w:gridCol w:w="3309"/>
        <w:gridCol w:w="4220"/>
        <w:gridCol w:w="4334"/>
      </w:tblGrid>
      <w:tr w:rsidR="00F5352B" w14:paraId="1F74DCF9" w14:textId="77777777" w:rsidTr="4E412A7A">
        <w:tc>
          <w:tcPr>
            <w:tcW w:w="2311" w:type="dxa"/>
          </w:tcPr>
          <w:p w14:paraId="608DB22A" w14:textId="719A3561" w:rsidR="00F5352B" w:rsidRDefault="00F5352B" w:rsidP="008A22C6">
            <w:r>
              <w:lastRenderedPageBreak/>
              <w:t>Paragraph</w:t>
            </w:r>
          </w:p>
        </w:tc>
        <w:tc>
          <w:tcPr>
            <w:tcW w:w="3309" w:type="dxa"/>
          </w:tcPr>
          <w:p w14:paraId="36F8F1CA" w14:textId="72614F45" w:rsidR="00F5352B" w:rsidRDefault="00F5352B" w:rsidP="008A22C6">
            <w:r>
              <w:t>Current</w:t>
            </w:r>
          </w:p>
        </w:tc>
        <w:tc>
          <w:tcPr>
            <w:tcW w:w="4220" w:type="dxa"/>
          </w:tcPr>
          <w:p w14:paraId="0760A7E1" w14:textId="414FC5C8" w:rsidR="00F5352B" w:rsidRDefault="00F5352B" w:rsidP="008A22C6">
            <w:r>
              <w:t>Change</w:t>
            </w:r>
          </w:p>
        </w:tc>
        <w:tc>
          <w:tcPr>
            <w:tcW w:w="4334" w:type="dxa"/>
          </w:tcPr>
          <w:p w14:paraId="22151FE2" w14:textId="074E372D" w:rsidR="00F5352B" w:rsidRDefault="00F5352B" w:rsidP="008A22C6">
            <w:r>
              <w:t>Reason</w:t>
            </w:r>
          </w:p>
        </w:tc>
      </w:tr>
      <w:tr w:rsidR="00912B87" w14:paraId="6BE922A5" w14:textId="77777777" w:rsidTr="4E412A7A">
        <w:tc>
          <w:tcPr>
            <w:tcW w:w="2311" w:type="dxa"/>
          </w:tcPr>
          <w:p w14:paraId="0CF400FE" w14:textId="5B413479" w:rsidR="00912B87" w:rsidRPr="00140162" w:rsidRDefault="00DB4C9F" w:rsidP="4D6745DA">
            <w:pPr>
              <w:rPr>
                <w:i/>
                <w:iCs/>
              </w:rPr>
            </w:pPr>
            <w:r>
              <w:t xml:space="preserve">13.16 </w:t>
            </w:r>
            <w:r w:rsidR="00CA3337">
              <w:t>Public</w:t>
            </w:r>
            <w:r>
              <w:t xml:space="preserve"> Speakers at Scrutiny Committee </w:t>
            </w:r>
          </w:p>
        </w:tc>
        <w:tc>
          <w:tcPr>
            <w:tcW w:w="3309" w:type="dxa"/>
          </w:tcPr>
          <w:p w14:paraId="646D70EA" w14:textId="77777777" w:rsidR="00017A41" w:rsidRPr="00017A41" w:rsidRDefault="00017A41" w:rsidP="00017A41">
            <w:r w:rsidRPr="00017A41">
              <w:t>Members of the public can submit Addresses, in writing about any item for discussion at the meeting. Addresses, stating the relevant agenda item, must be received by the Director of Law, Governance and Strategy (</w:t>
            </w:r>
            <w:hyperlink r:id="rId10" w:history="1">
              <w:r w:rsidRPr="00017A41">
                <w:rPr>
                  <w:rStyle w:val="Hyperlink"/>
                  <w:iCs/>
                </w:rPr>
                <w:t>acscrutiny@oxford.gov.uk</w:t>
              </w:r>
            </w:hyperlink>
            <w:r w:rsidRPr="00017A41">
              <w:t>) by 5pm at least three clear working days Questions can be submitted either by letter or by email. An address may last for no more than five minutes.</w:t>
            </w:r>
          </w:p>
          <w:p w14:paraId="07D6D12A" w14:textId="5591BD17" w:rsidR="00912B87" w:rsidRPr="00F5352B" w:rsidRDefault="00017A41" w:rsidP="00017A41">
            <w:r w:rsidRPr="00017A41">
              <w:t>Members of the Scrutiny Committee can ask questions to the public speaker.</w:t>
            </w:r>
          </w:p>
        </w:tc>
        <w:tc>
          <w:tcPr>
            <w:tcW w:w="4220" w:type="dxa"/>
          </w:tcPr>
          <w:p w14:paraId="32E6C4F9" w14:textId="1FF51737" w:rsidR="00D318C4" w:rsidRPr="00D318C4" w:rsidRDefault="00D318C4" w:rsidP="00D318C4">
            <w:pPr>
              <w:pStyle w:val="dNormParatext"/>
              <w:ind w:left="0"/>
              <w:rPr>
                <w:lang w:bidi="en-GB"/>
              </w:rPr>
            </w:pPr>
            <w:bookmarkStart w:id="0" w:name="_bookmark4"/>
            <w:bookmarkStart w:id="1" w:name="_bookmark3"/>
            <w:bookmarkStart w:id="2" w:name="_bookmark2"/>
            <w:bookmarkEnd w:id="0"/>
            <w:bookmarkEnd w:id="1"/>
            <w:bookmarkEnd w:id="2"/>
            <w:r w:rsidRPr="00D318C4">
              <w:rPr>
                <w:lang w:bidi="en-GB"/>
              </w:rPr>
              <w:t xml:space="preserve">Members of the public can submit addresses in writing about any item for discussion at the meeting. </w:t>
            </w:r>
            <w:r w:rsidRPr="00D318C4">
              <w:rPr>
                <w:b/>
                <w:bCs/>
                <w:lang w:bidi="en-GB"/>
              </w:rPr>
              <w:t>The full text of the address</w:t>
            </w:r>
            <w:r w:rsidRPr="00D318C4">
              <w:rPr>
                <w:lang w:bidi="en-GB"/>
              </w:rPr>
              <w:t>, stating the relevant agenda item, must be received by the Director of Law, Governance and Strategy (</w:t>
            </w:r>
            <w:hyperlink r:id="rId11">
              <w:r w:rsidRPr="00D318C4">
                <w:rPr>
                  <w:rStyle w:val="Hyperlink"/>
                  <w:i/>
                  <w:lang w:bidi="en-GB"/>
                </w:rPr>
                <w:t>acscrutiny@oxford.gov.uk</w:t>
              </w:r>
            </w:hyperlink>
            <w:r w:rsidRPr="00D318C4">
              <w:rPr>
                <w:lang w:bidi="en-GB"/>
              </w:rPr>
              <w:t xml:space="preserve">) by 5pm at least three clear working days. Addresses can be submitted either by letter or by email and may last for no more than five minutes. </w:t>
            </w:r>
            <w:r w:rsidRPr="00D318C4">
              <w:rPr>
                <w:b/>
                <w:bCs/>
                <w:lang w:bidi="en-GB"/>
              </w:rPr>
              <w:t>The public speaker must stick to the submitted address and the Chair of the Committee has discretion to curtail the address if the public speaker departs from the submitted address.</w:t>
            </w:r>
            <w:r w:rsidRPr="00D318C4">
              <w:rPr>
                <w:lang w:bidi="en-GB"/>
              </w:rPr>
              <w:t xml:space="preserve"> </w:t>
            </w:r>
          </w:p>
          <w:p w14:paraId="00A518F5" w14:textId="44E46DFF" w:rsidR="00D318C4" w:rsidRPr="00D318C4" w:rsidRDefault="00D318C4" w:rsidP="00D318C4">
            <w:pPr>
              <w:pStyle w:val="dNormParatext"/>
              <w:ind w:left="0"/>
              <w:rPr>
                <w:b/>
                <w:bCs/>
                <w:lang w:bidi="en-GB"/>
              </w:rPr>
            </w:pPr>
            <w:r w:rsidRPr="00D318C4">
              <w:rPr>
                <w:b/>
                <w:bCs/>
                <w:lang w:bidi="en-GB"/>
              </w:rPr>
              <w:t>Addresses may be rejected by the Monitoring Officer on the basis as set out at Part 11.13 of this Constitution.</w:t>
            </w:r>
          </w:p>
          <w:p w14:paraId="58BB2494" w14:textId="77777777" w:rsidR="00D318C4" w:rsidRPr="00D318C4" w:rsidRDefault="00D318C4" w:rsidP="00D318C4">
            <w:pPr>
              <w:pStyle w:val="dNormParatext"/>
              <w:ind w:left="0"/>
              <w:rPr>
                <w:lang w:bidi="en-GB"/>
              </w:rPr>
            </w:pPr>
            <w:r w:rsidRPr="00D318C4">
              <w:rPr>
                <w:lang w:bidi="en-GB"/>
              </w:rPr>
              <w:t>Members of the Scrutiny Committee can ask questions to the public speaker.</w:t>
            </w:r>
          </w:p>
          <w:p w14:paraId="5722F745" w14:textId="4DC09B41" w:rsidR="00912B87" w:rsidRPr="00F5352B" w:rsidRDefault="00912B87" w:rsidP="005075A0">
            <w:pPr>
              <w:pStyle w:val="dNormParatext"/>
              <w:ind w:left="0"/>
            </w:pPr>
          </w:p>
        </w:tc>
        <w:tc>
          <w:tcPr>
            <w:tcW w:w="4334" w:type="dxa"/>
          </w:tcPr>
          <w:p w14:paraId="7375090D" w14:textId="1F013CB1" w:rsidR="00553930" w:rsidRDefault="008E5AA5" w:rsidP="008A22C6">
            <w:r>
              <w:t>This will ensure the full address has been received and reviewed by the Monitoring Officer</w:t>
            </w:r>
          </w:p>
        </w:tc>
      </w:tr>
    </w:tbl>
    <w:p w14:paraId="657EAA44" w14:textId="77777777" w:rsidR="00F5352B" w:rsidRDefault="00F5352B" w:rsidP="008A22C6"/>
    <w:p w14:paraId="23F1D9BF" w14:textId="3DD508EE" w:rsidR="006710F8" w:rsidRDefault="006710F8" w:rsidP="008A22C6">
      <w:r>
        <w:t>Part 14 Other Committee Procedures</w:t>
      </w:r>
    </w:p>
    <w:p w14:paraId="223E09B6" w14:textId="77777777" w:rsidR="006710F8" w:rsidRDefault="006710F8" w:rsidP="008A22C6"/>
    <w:tbl>
      <w:tblPr>
        <w:tblStyle w:val="TableGrid"/>
        <w:tblW w:w="0" w:type="auto"/>
        <w:tblLook w:val="04A0" w:firstRow="1" w:lastRow="0" w:firstColumn="1" w:lastColumn="0" w:noHBand="0" w:noVBand="1"/>
      </w:tblPr>
      <w:tblGrid>
        <w:gridCol w:w="2452"/>
        <w:gridCol w:w="3601"/>
        <w:gridCol w:w="4505"/>
        <w:gridCol w:w="3616"/>
      </w:tblGrid>
      <w:tr w:rsidR="00E47073" w14:paraId="1BB486B0" w14:textId="77777777" w:rsidTr="5A0D345E">
        <w:tc>
          <w:tcPr>
            <w:tcW w:w="2637" w:type="dxa"/>
          </w:tcPr>
          <w:p w14:paraId="7DA6ABED" w14:textId="77777777" w:rsidR="00E47073" w:rsidRDefault="00E47073">
            <w:r>
              <w:lastRenderedPageBreak/>
              <w:t>Paragraph</w:t>
            </w:r>
          </w:p>
        </w:tc>
        <w:tc>
          <w:tcPr>
            <w:tcW w:w="3775" w:type="dxa"/>
          </w:tcPr>
          <w:p w14:paraId="7E1EA445" w14:textId="77777777" w:rsidR="00E47073" w:rsidRDefault="00E47073">
            <w:r>
              <w:t>Current</w:t>
            </w:r>
          </w:p>
        </w:tc>
        <w:tc>
          <w:tcPr>
            <w:tcW w:w="3775" w:type="dxa"/>
          </w:tcPr>
          <w:p w14:paraId="7890F0F6" w14:textId="77777777" w:rsidR="00E47073" w:rsidRDefault="00E47073">
            <w:r>
              <w:t>Change</w:t>
            </w:r>
          </w:p>
        </w:tc>
        <w:tc>
          <w:tcPr>
            <w:tcW w:w="3987" w:type="dxa"/>
          </w:tcPr>
          <w:p w14:paraId="6B78FDFB" w14:textId="77777777" w:rsidR="00E47073" w:rsidRDefault="00E47073">
            <w:r>
              <w:t>Reason</w:t>
            </w:r>
          </w:p>
        </w:tc>
      </w:tr>
      <w:tr w:rsidR="005C6B08" w14:paraId="038B7746" w14:textId="77777777" w:rsidTr="5A0D345E">
        <w:tc>
          <w:tcPr>
            <w:tcW w:w="2637" w:type="dxa"/>
          </w:tcPr>
          <w:p w14:paraId="1ED941F4" w14:textId="7493D48F" w:rsidR="005C6B08" w:rsidRPr="005D49FB" w:rsidRDefault="005C6B08" w:rsidP="00D31BE0">
            <w:r>
              <w:t>14.8 Speaking on agenda items</w:t>
            </w:r>
          </w:p>
        </w:tc>
        <w:tc>
          <w:tcPr>
            <w:tcW w:w="3775" w:type="dxa"/>
          </w:tcPr>
          <w:p w14:paraId="4F21BE16" w14:textId="77777777" w:rsidR="008A5953" w:rsidRDefault="008A5953" w:rsidP="008A5953">
            <w:r>
              <w:t>Specific rules on public speaking apply to meetings of Planning Committee, Planning Review Committee, General Purposes Licensing Casework Sub-Committee and Licensing and Gambling Acts Casework Sub-Committee.</w:t>
            </w:r>
          </w:p>
          <w:p w14:paraId="0FC3E35E" w14:textId="5C86307A" w:rsidR="005C6B08" w:rsidRPr="008760D2" w:rsidRDefault="008A5953" w:rsidP="008A5953">
            <w:r>
              <w:t>For all other committees where the press and public are not excluded (Council, Cabinet, Scrutiny Committee, Audit and Governance Committee, Standards Committee, General Purposes Licensing Committee and Licensing and Gambling Acts Committee) any member of the public can speak on any agenda item for up to five minutes and should register to speak by 5.00 pm three clear working days before the meeting, including a draft of the speech submitted to the Director of Law, Governance and Strategy</w:t>
            </w:r>
          </w:p>
        </w:tc>
        <w:tc>
          <w:tcPr>
            <w:tcW w:w="3775" w:type="dxa"/>
          </w:tcPr>
          <w:p w14:paraId="7D28587A" w14:textId="77777777" w:rsidR="00E95057" w:rsidRDefault="00E95057" w:rsidP="00E95057">
            <w:pPr>
              <w:pStyle w:val="dNormParatext"/>
              <w:ind w:left="0"/>
            </w:pPr>
            <w:r>
              <w:t>Specific rules on public speaking apply to meetings of Planning Committee, Planning Review Committee, General Purposes Licensing Casework Sub- Committee and Licensing and Gambling Acts Casework Sub-Committee.</w:t>
            </w:r>
          </w:p>
          <w:p w14:paraId="0FD729E6" w14:textId="0CA4D35E" w:rsidR="00E95057" w:rsidRPr="00975E32" w:rsidRDefault="00E95057" w:rsidP="00E95057">
            <w:pPr>
              <w:pStyle w:val="dNormParatext"/>
              <w:ind w:left="0"/>
              <w:rPr>
                <w:b/>
              </w:rPr>
            </w:pPr>
            <w:r>
              <w:t>For all other committees where the press and public are not excluded (Council, Cabinet, Scrutiny Committee, Audit and Governance Committee, Standards Committee, General Purposes Licensing Committee and Licensing and Gambling Acts Committee) any member of the public can speak on any agenda item for up to five minutes and should register to speak by 5.00 pm three clear working days before the meeting, i</w:t>
            </w:r>
            <w:r w:rsidRPr="70AC9D59">
              <w:rPr>
                <w:b/>
              </w:rPr>
              <w:t>ncluding a draft of the full text of the address speech submitted to the Director of Law, Governance and Strategy</w:t>
            </w:r>
            <w:r w:rsidR="00975E32">
              <w:rPr>
                <w:b/>
              </w:rPr>
              <w:t xml:space="preserve"> (</w:t>
            </w:r>
            <w:hyperlink r:id="rId12" w:history="1">
              <w:r w:rsidR="00975E32" w:rsidRPr="00975E32">
                <w:rPr>
                  <w:rStyle w:val="Hyperlink"/>
                  <w:b/>
                  <w:i/>
                  <w:iCs/>
                </w:rPr>
                <w:t>democraticservices@oxford.gov.uk</w:t>
              </w:r>
            </w:hyperlink>
            <w:r w:rsidR="00975E32">
              <w:rPr>
                <w:b/>
              </w:rPr>
              <w:t>)</w:t>
            </w:r>
            <w:r w:rsidRPr="70AC9D59">
              <w:rPr>
                <w:b/>
              </w:rPr>
              <w:t>. The public speaker must stick to the submitted address and the Chair of the Committee has discretion to curtail the address if the public speaker departs from the submitted address</w:t>
            </w:r>
            <w:r>
              <w:t>.</w:t>
            </w:r>
          </w:p>
          <w:p w14:paraId="68F649B0" w14:textId="4C6F0D7C" w:rsidR="005C6B08" w:rsidRPr="00D318C4" w:rsidRDefault="00E95057" w:rsidP="00E95057">
            <w:pPr>
              <w:pStyle w:val="dNormParatext"/>
              <w:ind w:left="0"/>
              <w:rPr>
                <w:b/>
                <w:bCs/>
              </w:rPr>
            </w:pPr>
            <w:r w:rsidRPr="00D318C4">
              <w:rPr>
                <w:b/>
                <w:bCs/>
              </w:rPr>
              <w:t xml:space="preserve">Addresses may be rejected by the Monitoring Officer on the basis as </w:t>
            </w:r>
            <w:r w:rsidRPr="00D318C4">
              <w:rPr>
                <w:b/>
                <w:bCs/>
              </w:rPr>
              <w:lastRenderedPageBreak/>
              <w:t>set out at Part 11.13 of this Constitution.</w:t>
            </w:r>
          </w:p>
        </w:tc>
        <w:tc>
          <w:tcPr>
            <w:tcW w:w="3987" w:type="dxa"/>
          </w:tcPr>
          <w:p w14:paraId="4B75DC26" w14:textId="0D820C13" w:rsidR="005C6B08" w:rsidRPr="000F167C" w:rsidRDefault="008E5AA5" w:rsidP="00D31BE0">
            <w:r>
              <w:lastRenderedPageBreak/>
              <w:t>This will ensure the full address has been received and reviewed by the Monitoring Officer</w:t>
            </w:r>
          </w:p>
        </w:tc>
      </w:tr>
      <w:tr w:rsidR="008063A3" w14:paraId="648FB988" w14:textId="77777777" w:rsidTr="5A0D345E">
        <w:tc>
          <w:tcPr>
            <w:tcW w:w="2637" w:type="dxa"/>
          </w:tcPr>
          <w:p w14:paraId="6BAA46C2" w14:textId="4FFB06B7" w:rsidR="008063A3" w:rsidRDefault="0051732E" w:rsidP="00D31BE0">
            <w:r>
              <w:t>14.9 Councillors Speaking on a</w:t>
            </w:r>
            <w:r w:rsidR="00AA3A70">
              <w:t>genda items</w:t>
            </w:r>
            <w:r>
              <w:t xml:space="preserve"> </w:t>
            </w:r>
          </w:p>
        </w:tc>
        <w:tc>
          <w:tcPr>
            <w:tcW w:w="3775" w:type="dxa"/>
          </w:tcPr>
          <w:p w14:paraId="3928211A" w14:textId="0753CE55" w:rsidR="008063A3" w:rsidRPr="008063A3" w:rsidRDefault="008063A3" w:rsidP="008063A3">
            <w:pPr>
              <w:rPr>
                <w:lang w:bidi="en-GB"/>
              </w:rPr>
            </w:pPr>
            <w:r w:rsidRPr="008063A3">
              <w:rPr>
                <w:lang w:bidi="en-GB"/>
              </w:rPr>
              <w:t>For all other committees where the press and public are not excluded (Cabinet, Scrutiny Committee, Audit and Governance Committee, Standards Committee, General Purposes Licensing Committee and Licensing and Gambling Acts Committee) Oxford City councillors can register to speak for up to five minutes on any agenda item by 5.00 pm three clear working days before the meeting.</w:t>
            </w:r>
          </w:p>
          <w:p w14:paraId="7E697523" w14:textId="77777777" w:rsidR="008063A3" w:rsidRDefault="008063A3" w:rsidP="008A5953"/>
        </w:tc>
        <w:tc>
          <w:tcPr>
            <w:tcW w:w="3775" w:type="dxa"/>
          </w:tcPr>
          <w:p w14:paraId="2EBFB8E0" w14:textId="23E5923E" w:rsidR="008063A3" w:rsidRDefault="008063A3" w:rsidP="00E95057">
            <w:pPr>
              <w:pStyle w:val="dNormParatext"/>
              <w:ind w:left="0"/>
              <w:rPr>
                <w:lang w:bidi="en-GB"/>
              </w:rPr>
            </w:pPr>
            <w:r w:rsidRPr="008063A3">
              <w:rPr>
                <w:lang w:bidi="en-GB"/>
              </w:rPr>
              <w:t xml:space="preserve">For all other committees where the press and public are not excluded (Cabinet, Scrutiny Committee, Audit and Governance Committee, Standards Committee, General Purposes Licensing Committee and Licensing and Gambling Acts Committee) Oxford City councillors can register to speak for up to five minutes on any agenda item </w:t>
            </w:r>
            <w:r w:rsidRPr="008063A3">
              <w:rPr>
                <w:b/>
                <w:bCs/>
                <w:lang w:bidi="en-GB"/>
              </w:rPr>
              <w:t>by notifying the Director of Law, Governance and Strategy (</w:t>
            </w:r>
            <w:hyperlink r:id="rId13" w:history="1">
              <w:r w:rsidRPr="008063A3">
                <w:rPr>
                  <w:rStyle w:val="Hyperlink"/>
                  <w:b/>
                  <w:bCs/>
                  <w:lang w:bidi="en-GB"/>
                </w:rPr>
                <w:t>democraticservices@oxford.gov.uk</w:t>
              </w:r>
            </w:hyperlink>
            <w:r w:rsidRPr="008063A3">
              <w:rPr>
                <w:b/>
                <w:bCs/>
                <w:lang w:bidi="en-GB"/>
              </w:rPr>
              <w:t xml:space="preserve">) </w:t>
            </w:r>
            <w:r w:rsidRPr="008063A3">
              <w:rPr>
                <w:lang w:bidi="en-GB"/>
              </w:rPr>
              <w:t>by 5.00 pm three clear working days before the meeting.</w:t>
            </w:r>
          </w:p>
        </w:tc>
        <w:tc>
          <w:tcPr>
            <w:tcW w:w="3987" w:type="dxa"/>
          </w:tcPr>
          <w:p w14:paraId="0C243847" w14:textId="0F3B4003" w:rsidR="008063A3" w:rsidRDefault="00AA3A70" w:rsidP="00D31BE0">
            <w:r>
              <w:t xml:space="preserve">To include the email address for Members wishing to address </w:t>
            </w:r>
            <w:r w:rsidR="006422C2">
              <w:t>the other committees.</w:t>
            </w:r>
          </w:p>
        </w:tc>
      </w:tr>
      <w:tr w:rsidR="006710F8" w14:paraId="4524F66D" w14:textId="77777777" w:rsidTr="5A0D345E">
        <w:tc>
          <w:tcPr>
            <w:tcW w:w="2637" w:type="dxa"/>
          </w:tcPr>
          <w:p w14:paraId="0B613A8D" w14:textId="322F8027" w:rsidR="006710F8" w:rsidRDefault="006710F8">
            <w:r>
              <w:t>14.1</w:t>
            </w:r>
            <w:r w:rsidR="0098341D">
              <w:t>3</w:t>
            </w:r>
            <w:r>
              <w:t xml:space="preserve"> (</w:t>
            </w:r>
            <w:r w:rsidR="00B24B87">
              <w:t>d</w:t>
            </w:r>
            <w:r>
              <w:t xml:space="preserve">) </w:t>
            </w:r>
            <w:r w:rsidR="00140CDF">
              <w:t>Written statements at licensing sub-committee meetings</w:t>
            </w:r>
          </w:p>
        </w:tc>
        <w:tc>
          <w:tcPr>
            <w:tcW w:w="3775" w:type="dxa"/>
          </w:tcPr>
          <w:p w14:paraId="2C0FF2FD" w14:textId="3F384C11" w:rsidR="006710F8" w:rsidRDefault="00AE0696" w:rsidP="00AE0696">
            <w:r w:rsidRPr="00AE0696">
              <w:t xml:space="preserve">Any written statements that members of the public, applicants, or councillors wish to be considered by a licensing </w:t>
            </w:r>
            <w:proofErr w:type="gramStart"/>
            <w:r w:rsidRPr="00F325E8">
              <w:t>committee</w:t>
            </w:r>
            <w:proofErr w:type="gramEnd"/>
            <w:r w:rsidRPr="00F325E8">
              <w:t xml:space="preserve"> or </w:t>
            </w:r>
            <w:r w:rsidRPr="00AE0696">
              <w:t>sub-committee must be submitted to the Licensing Authority at least two working days before the meeting.</w:t>
            </w:r>
          </w:p>
        </w:tc>
        <w:tc>
          <w:tcPr>
            <w:tcW w:w="3775" w:type="dxa"/>
          </w:tcPr>
          <w:p w14:paraId="7AE99D7D" w14:textId="04976618" w:rsidR="006710F8" w:rsidRDefault="00AE0696" w:rsidP="00AE0696">
            <w:r w:rsidRPr="00AE0696">
              <w:t>Any written statements that members of the public, applicants, or councillors wish to be considered by a licensing sub-committee must be submitted to the Licensing Authority at least two working days before the meeting.</w:t>
            </w:r>
          </w:p>
        </w:tc>
        <w:tc>
          <w:tcPr>
            <w:tcW w:w="3987" w:type="dxa"/>
          </w:tcPr>
          <w:p w14:paraId="6F4BAC7C" w14:textId="3FE6E17C" w:rsidR="000B6F3A" w:rsidRDefault="00AE0696">
            <w:r>
              <w:t>To clearly state the</w:t>
            </w:r>
            <w:r w:rsidR="006422C2">
              <w:t>re are</w:t>
            </w:r>
            <w:r>
              <w:t xml:space="preserve"> different public speaking rules for the Licensing Sub-Committees</w:t>
            </w:r>
          </w:p>
        </w:tc>
      </w:tr>
      <w:tr w:rsidR="00204633" w14:paraId="7124DB43" w14:textId="77777777" w:rsidTr="5A0D345E">
        <w:tc>
          <w:tcPr>
            <w:tcW w:w="2637" w:type="dxa"/>
          </w:tcPr>
          <w:p w14:paraId="2B17C8C1" w14:textId="0938D901" w:rsidR="00204633" w:rsidRDefault="00204633">
            <w:r w:rsidRPr="00204633">
              <w:t>14.1</w:t>
            </w:r>
            <w:r w:rsidR="0098341D">
              <w:t>3</w:t>
            </w:r>
            <w:r w:rsidRPr="00204633">
              <w:t xml:space="preserve"> (</w:t>
            </w:r>
            <w:r>
              <w:t>e</w:t>
            </w:r>
            <w:r w:rsidRPr="00204633">
              <w:t>) Licensing Committee procedures</w:t>
            </w:r>
          </w:p>
        </w:tc>
        <w:tc>
          <w:tcPr>
            <w:tcW w:w="3775" w:type="dxa"/>
          </w:tcPr>
          <w:p w14:paraId="270D87E3" w14:textId="77777777" w:rsidR="00B24B87" w:rsidRPr="00B24B87" w:rsidRDefault="00B24B87" w:rsidP="00B24B87">
            <w:pPr>
              <w:numPr>
                <w:ilvl w:val="0"/>
                <w:numId w:val="24"/>
              </w:numPr>
            </w:pPr>
            <w:r w:rsidRPr="00B24B87">
              <w:t>Election of Chair (if the Chair is absent or a Chair has not been appointed for this hearing)</w:t>
            </w:r>
          </w:p>
          <w:p w14:paraId="4D22E7A8" w14:textId="77777777" w:rsidR="00B24B87" w:rsidRPr="00B24B87" w:rsidRDefault="00B24B87" w:rsidP="00B24B87">
            <w:pPr>
              <w:numPr>
                <w:ilvl w:val="0"/>
                <w:numId w:val="24"/>
              </w:numPr>
            </w:pPr>
            <w:r w:rsidRPr="00B24B87">
              <w:lastRenderedPageBreak/>
              <w:t>Apologies for absence</w:t>
            </w:r>
          </w:p>
          <w:p w14:paraId="4F1DE9DA" w14:textId="77777777" w:rsidR="00B24B87" w:rsidRPr="00B24B87" w:rsidRDefault="00B24B87" w:rsidP="00B24B87">
            <w:pPr>
              <w:numPr>
                <w:ilvl w:val="0"/>
                <w:numId w:val="24"/>
              </w:numPr>
            </w:pPr>
            <w:r w:rsidRPr="00B24B87">
              <w:t>Declarations of interest</w:t>
            </w:r>
          </w:p>
          <w:p w14:paraId="49A13785" w14:textId="77777777" w:rsidR="00B24B87" w:rsidRPr="00B24B87" w:rsidRDefault="00B24B87" w:rsidP="00B24B87">
            <w:pPr>
              <w:numPr>
                <w:ilvl w:val="0"/>
                <w:numId w:val="24"/>
              </w:numPr>
            </w:pPr>
            <w:r w:rsidRPr="00B24B87">
              <w:t>Procedure to be followed at the meeting</w:t>
            </w:r>
          </w:p>
          <w:p w14:paraId="48DBD5AA" w14:textId="77777777" w:rsidR="00B24B87" w:rsidRPr="00B24B87" w:rsidRDefault="00B24B87" w:rsidP="00B24B87">
            <w:pPr>
              <w:numPr>
                <w:ilvl w:val="0"/>
                <w:numId w:val="24"/>
              </w:numPr>
            </w:pPr>
            <w:r w:rsidRPr="00B24B87">
              <w:t>Minutes of the previous meeting</w:t>
            </w:r>
          </w:p>
          <w:p w14:paraId="105FE301" w14:textId="77777777" w:rsidR="00B24B87" w:rsidRDefault="00B24B87" w:rsidP="00B24B87">
            <w:pPr>
              <w:numPr>
                <w:ilvl w:val="0"/>
                <w:numId w:val="24"/>
              </w:numPr>
            </w:pPr>
            <w:r w:rsidRPr="00B24B87">
              <w:t>Items for decision or information</w:t>
            </w:r>
          </w:p>
          <w:p w14:paraId="4A7D65C9" w14:textId="1E0DBEDD" w:rsidR="00204633" w:rsidRPr="006710F8" w:rsidRDefault="00B24B87" w:rsidP="00B24B87">
            <w:pPr>
              <w:numPr>
                <w:ilvl w:val="0"/>
                <w:numId w:val="24"/>
              </w:numPr>
            </w:pPr>
            <w:r w:rsidRPr="00B24B87">
              <w:t>Dates of future meetings</w:t>
            </w:r>
          </w:p>
        </w:tc>
        <w:tc>
          <w:tcPr>
            <w:tcW w:w="3775" w:type="dxa"/>
          </w:tcPr>
          <w:p w14:paraId="13ED5DAB" w14:textId="3AEAA702" w:rsidR="00AE4986" w:rsidRPr="00AE4986" w:rsidRDefault="00AE4986" w:rsidP="00AE4986">
            <w:pPr>
              <w:pStyle w:val="ListParagraph"/>
              <w:numPr>
                <w:ilvl w:val="0"/>
                <w:numId w:val="24"/>
              </w:numPr>
            </w:pPr>
            <w:r w:rsidRPr="00AE4986">
              <w:lastRenderedPageBreak/>
              <w:t>Election of Chair (if the Chair</w:t>
            </w:r>
            <w:r w:rsidR="00E741CB">
              <w:t xml:space="preserve"> is</w:t>
            </w:r>
            <w:r w:rsidRPr="00AE4986">
              <w:t xml:space="preserve"> absent</w:t>
            </w:r>
            <w:r>
              <w:t xml:space="preserve"> or a </w:t>
            </w:r>
            <w:r w:rsidR="00CA25BE">
              <w:t xml:space="preserve">Chair </w:t>
            </w:r>
            <w:r w:rsidR="00E741CB">
              <w:t>has not been appointed</w:t>
            </w:r>
            <w:r w:rsidR="00CA25BE">
              <w:t xml:space="preserve"> for th</w:t>
            </w:r>
            <w:r w:rsidR="00E741CB">
              <w:t>is</w:t>
            </w:r>
            <w:r w:rsidR="00CA25BE">
              <w:t xml:space="preserve"> hearing</w:t>
            </w:r>
            <w:r w:rsidRPr="00AE4986">
              <w:t>)</w:t>
            </w:r>
          </w:p>
          <w:p w14:paraId="7040560B" w14:textId="77777777" w:rsidR="00AE4986" w:rsidRPr="00AE4986" w:rsidRDefault="00AE4986" w:rsidP="00AE4986">
            <w:pPr>
              <w:pStyle w:val="ListParagraph"/>
              <w:numPr>
                <w:ilvl w:val="0"/>
                <w:numId w:val="24"/>
              </w:numPr>
            </w:pPr>
            <w:r w:rsidRPr="00AE4986">
              <w:t>Apologies for absence</w:t>
            </w:r>
          </w:p>
          <w:p w14:paraId="6F31CC12" w14:textId="77777777" w:rsidR="00AE4986" w:rsidRDefault="00AE4986" w:rsidP="00AE4986">
            <w:pPr>
              <w:pStyle w:val="ListParagraph"/>
              <w:numPr>
                <w:ilvl w:val="0"/>
                <w:numId w:val="24"/>
              </w:numPr>
            </w:pPr>
            <w:r w:rsidRPr="00AE4986">
              <w:t>Declarations of interest</w:t>
            </w:r>
          </w:p>
          <w:p w14:paraId="48B9CAF5" w14:textId="5909633F" w:rsidR="00DE5AAF" w:rsidRPr="00AE4986" w:rsidRDefault="00DE5AAF" w:rsidP="00AE4986">
            <w:pPr>
              <w:pStyle w:val="ListParagraph"/>
              <w:numPr>
                <w:ilvl w:val="0"/>
                <w:numId w:val="24"/>
              </w:numPr>
            </w:pPr>
            <w:r>
              <w:lastRenderedPageBreak/>
              <w:t>Procedure to be followed at the meeting</w:t>
            </w:r>
          </w:p>
          <w:p w14:paraId="05F90F13" w14:textId="77777777" w:rsidR="00AE4986" w:rsidRPr="00AE4986" w:rsidRDefault="00AE4986" w:rsidP="00AE4986">
            <w:pPr>
              <w:pStyle w:val="ListParagraph"/>
              <w:numPr>
                <w:ilvl w:val="0"/>
                <w:numId w:val="24"/>
              </w:numPr>
            </w:pPr>
            <w:r w:rsidRPr="00AE4986">
              <w:t>Items for decision or information</w:t>
            </w:r>
          </w:p>
          <w:p w14:paraId="47B6A969" w14:textId="43BFE9C9" w:rsidR="00204633" w:rsidRPr="006710F8" w:rsidRDefault="00AE4986" w:rsidP="006710F8">
            <w:pPr>
              <w:pStyle w:val="ListParagraph"/>
              <w:numPr>
                <w:ilvl w:val="0"/>
                <w:numId w:val="24"/>
              </w:numPr>
            </w:pPr>
            <w:r w:rsidRPr="00AE4986">
              <w:t>Dates of future meetings</w:t>
            </w:r>
          </w:p>
        </w:tc>
        <w:tc>
          <w:tcPr>
            <w:tcW w:w="3987" w:type="dxa"/>
          </w:tcPr>
          <w:p w14:paraId="458DEF5F" w14:textId="2B5A3B24" w:rsidR="00204633" w:rsidRPr="006710F8" w:rsidRDefault="00B2627F">
            <w:r>
              <w:lastRenderedPageBreak/>
              <w:t>T</w:t>
            </w:r>
            <w:r w:rsidRPr="00B2627F">
              <w:t xml:space="preserve">he requirement of approving the minutes at the Licensing Sub-Committees was removed as part of the template agenda, as it is not best practice to approve a set of minutes where </w:t>
            </w:r>
            <w:r w:rsidRPr="00B2627F">
              <w:lastRenderedPageBreak/>
              <w:t>the membership of each sub-committee is different.</w:t>
            </w:r>
          </w:p>
        </w:tc>
      </w:tr>
    </w:tbl>
    <w:p w14:paraId="6219551C" w14:textId="77777777" w:rsidR="00831E89" w:rsidRDefault="00831E89" w:rsidP="008A22C6"/>
    <w:p w14:paraId="53B4E059" w14:textId="77777777" w:rsidR="00D63CD7" w:rsidRDefault="00D63CD7" w:rsidP="008A22C6"/>
    <w:p w14:paraId="544EDFC3" w14:textId="638C3684" w:rsidR="006710F8" w:rsidRDefault="006710F8" w:rsidP="008A22C6">
      <w:r>
        <w:t>Part 17 Call-in Procedures</w:t>
      </w:r>
    </w:p>
    <w:p w14:paraId="32F61473" w14:textId="77777777" w:rsidR="006710F8" w:rsidRDefault="006710F8" w:rsidP="008A22C6"/>
    <w:tbl>
      <w:tblPr>
        <w:tblStyle w:val="TableGrid"/>
        <w:tblW w:w="0" w:type="auto"/>
        <w:tblLook w:val="04A0" w:firstRow="1" w:lastRow="0" w:firstColumn="1" w:lastColumn="0" w:noHBand="0" w:noVBand="1"/>
      </w:tblPr>
      <w:tblGrid>
        <w:gridCol w:w="2916"/>
        <w:gridCol w:w="2811"/>
        <w:gridCol w:w="3844"/>
        <w:gridCol w:w="4603"/>
      </w:tblGrid>
      <w:tr w:rsidR="006710F8" w:rsidRPr="006710F8" w14:paraId="36C03FD8" w14:textId="77777777" w:rsidTr="00B24B87">
        <w:tc>
          <w:tcPr>
            <w:tcW w:w="2916" w:type="dxa"/>
          </w:tcPr>
          <w:p w14:paraId="699ADBD3" w14:textId="77777777" w:rsidR="006710F8" w:rsidRPr="006710F8" w:rsidRDefault="006710F8" w:rsidP="006710F8">
            <w:r w:rsidRPr="006710F8">
              <w:t>Paragraph</w:t>
            </w:r>
          </w:p>
        </w:tc>
        <w:tc>
          <w:tcPr>
            <w:tcW w:w="2811" w:type="dxa"/>
          </w:tcPr>
          <w:p w14:paraId="74F018DF" w14:textId="77777777" w:rsidR="006710F8" w:rsidRPr="006710F8" w:rsidRDefault="006710F8" w:rsidP="006710F8">
            <w:r w:rsidRPr="006710F8">
              <w:t>Current</w:t>
            </w:r>
          </w:p>
        </w:tc>
        <w:tc>
          <w:tcPr>
            <w:tcW w:w="3844" w:type="dxa"/>
          </w:tcPr>
          <w:p w14:paraId="39F72071" w14:textId="77777777" w:rsidR="006710F8" w:rsidRPr="006710F8" w:rsidRDefault="006710F8" w:rsidP="006710F8">
            <w:r w:rsidRPr="006710F8">
              <w:t>Change</w:t>
            </w:r>
          </w:p>
        </w:tc>
        <w:tc>
          <w:tcPr>
            <w:tcW w:w="4603" w:type="dxa"/>
          </w:tcPr>
          <w:p w14:paraId="58A46B96" w14:textId="77777777" w:rsidR="006710F8" w:rsidRPr="006710F8" w:rsidRDefault="006710F8" w:rsidP="006710F8">
            <w:r w:rsidRPr="006710F8">
              <w:t>Reason</w:t>
            </w:r>
          </w:p>
        </w:tc>
      </w:tr>
      <w:tr w:rsidR="006710F8" w:rsidRPr="006710F8" w14:paraId="246EE183" w14:textId="77777777" w:rsidTr="00B24B87">
        <w:tc>
          <w:tcPr>
            <w:tcW w:w="2916" w:type="dxa"/>
          </w:tcPr>
          <w:p w14:paraId="0F177F1D" w14:textId="77777777" w:rsidR="006710F8" w:rsidRDefault="006710F8" w:rsidP="006710F8">
            <w:r>
              <w:t>17.3 Who can call in decisions and when do they have to be called in by?</w:t>
            </w:r>
            <w:r w:rsidRPr="006710F8">
              <w:t xml:space="preserve"> </w:t>
            </w:r>
          </w:p>
          <w:p w14:paraId="085E1FF5" w14:textId="1D0C64FE" w:rsidR="006710F8" w:rsidRPr="006710F8" w:rsidRDefault="00800505" w:rsidP="006710F8">
            <w:r w:rsidRPr="00800505">
              <w:rPr>
                <w:lang w:bidi="en-GB"/>
              </w:rPr>
              <w:t>Decisions on planning applications (those seeking determinations within 5.3(a)) to be taken by the Director of Planning and Regulation</w:t>
            </w:r>
            <w:r w:rsidRPr="00800505">
              <w:t xml:space="preserve"> </w:t>
            </w:r>
          </w:p>
        </w:tc>
        <w:tc>
          <w:tcPr>
            <w:tcW w:w="2811" w:type="dxa"/>
          </w:tcPr>
          <w:p w14:paraId="7039F880" w14:textId="2C767F9D" w:rsidR="006710F8" w:rsidRPr="006710F8" w:rsidRDefault="00543BEE" w:rsidP="006710F8">
            <w:bookmarkStart w:id="3" w:name="_bookmark0"/>
            <w:bookmarkEnd w:id="3"/>
            <w:r w:rsidRPr="00543BEE">
              <w:rPr>
                <w:lang w:bidi="en-GB"/>
              </w:rPr>
              <w:t xml:space="preserve">5pm on the last day of the period of 21- days starting with the day on which notice of the application is </w:t>
            </w:r>
            <w:r>
              <w:rPr>
                <w:lang w:bidi="en-GB"/>
              </w:rPr>
              <w:t xml:space="preserve">sent to councillors (via the weekly planning list) </w:t>
            </w:r>
            <w:r w:rsidRPr="00543BEE">
              <w:rPr>
                <w:lang w:bidi="en-GB"/>
              </w:rPr>
              <w:t xml:space="preserve">or, in instances where there are significant changes to material planning considerations, as determined by the Director of Planning and Regulation, after the initial notice of the application is sent to councillors via the weekly planning list, </w:t>
            </w:r>
            <w:r w:rsidRPr="00543BEE">
              <w:rPr>
                <w:lang w:bidi="en-GB"/>
              </w:rPr>
              <w:lastRenderedPageBreak/>
              <w:t>5pm on the last day of the period of 21-days starting with the day on which councillors are re-notified (via the weekly list).</w:t>
            </w:r>
          </w:p>
        </w:tc>
        <w:tc>
          <w:tcPr>
            <w:tcW w:w="3844" w:type="dxa"/>
          </w:tcPr>
          <w:p w14:paraId="04A57E39" w14:textId="1CD98AFF" w:rsidR="006710F8" w:rsidRPr="006710F8" w:rsidRDefault="001F6183" w:rsidP="006710F8">
            <w:r>
              <w:lastRenderedPageBreak/>
              <w:t>Deadline:</w:t>
            </w:r>
          </w:p>
          <w:p w14:paraId="4D063083" w14:textId="6822A308" w:rsidR="006710F8" w:rsidRPr="006710F8" w:rsidRDefault="006710F8" w:rsidP="006710F8">
            <w:r w:rsidRPr="006710F8">
              <w:t xml:space="preserve">5pm on the last day of the two </w:t>
            </w:r>
            <w:r w:rsidR="009D00C9" w:rsidRPr="006710F8">
              <w:t>working</w:t>
            </w:r>
            <w:r w:rsidR="009D00C9">
              <w:t xml:space="preserve"> day</w:t>
            </w:r>
            <w:r w:rsidR="00F60CA1">
              <w:t xml:space="preserve"> period</w:t>
            </w:r>
            <w:r w:rsidRPr="006710F8">
              <w:t xml:space="preserve"> starting the day </w:t>
            </w:r>
            <w:r w:rsidR="001300ED">
              <w:t xml:space="preserve">after </w:t>
            </w:r>
            <w:r w:rsidRPr="006710F8">
              <w:t>the</w:t>
            </w:r>
            <w:r w:rsidR="00814640">
              <w:t xml:space="preserve"> </w:t>
            </w:r>
            <w:r>
              <w:t>decision notice is published</w:t>
            </w:r>
          </w:p>
        </w:tc>
        <w:tc>
          <w:tcPr>
            <w:tcW w:w="4603" w:type="dxa"/>
          </w:tcPr>
          <w:p w14:paraId="589151FB" w14:textId="1779DFF9" w:rsidR="00A84ADA" w:rsidRDefault="00D317C9" w:rsidP="006710F8">
            <w:r>
              <w:t xml:space="preserve">This brings the call-in deadline </w:t>
            </w:r>
            <w:r w:rsidR="5525720F">
              <w:t>to be in line with</w:t>
            </w:r>
            <w:r>
              <w:t xml:space="preserve"> </w:t>
            </w:r>
            <w:r w:rsidR="00794569">
              <w:t xml:space="preserve">when </w:t>
            </w:r>
            <w:r w:rsidR="71767125">
              <w:t xml:space="preserve">the decision </w:t>
            </w:r>
            <w:r w:rsidR="00794569">
              <w:t>is published on the website.</w:t>
            </w:r>
          </w:p>
          <w:p w14:paraId="4061F8C5" w14:textId="77777777" w:rsidR="00794569" w:rsidRDefault="00794569" w:rsidP="006710F8"/>
          <w:p w14:paraId="017FF1E0" w14:textId="0710FA83" w:rsidR="00794569" w:rsidRPr="006710F8" w:rsidRDefault="00794569" w:rsidP="006710F8">
            <w:r>
              <w:t>Councillors will continue to receive the weekly planning list via email.</w:t>
            </w:r>
          </w:p>
        </w:tc>
      </w:tr>
    </w:tbl>
    <w:p w14:paraId="067207DC" w14:textId="77777777" w:rsidR="006710F8" w:rsidRDefault="006710F8" w:rsidP="008A22C6"/>
    <w:p w14:paraId="44FCCA9B" w14:textId="47B2B6F1" w:rsidR="00822EBC" w:rsidRDefault="00822EBC" w:rsidP="008A22C6">
      <w:r>
        <w:t>Part 19 Contract Rules</w:t>
      </w:r>
    </w:p>
    <w:p w14:paraId="479AF335" w14:textId="77777777" w:rsidR="00822EBC" w:rsidRDefault="00822EBC" w:rsidP="008A22C6"/>
    <w:tbl>
      <w:tblPr>
        <w:tblStyle w:val="TableGrid"/>
        <w:tblW w:w="14174" w:type="dxa"/>
        <w:tblLook w:val="04A0" w:firstRow="1" w:lastRow="0" w:firstColumn="1" w:lastColumn="0" w:noHBand="0" w:noVBand="1"/>
      </w:tblPr>
      <w:tblGrid>
        <w:gridCol w:w="2776"/>
        <w:gridCol w:w="4122"/>
        <w:gridCol w:w="4020"/>
        <w:gridCol w:w="3256"/>
      </w:tblGrid>
      <w:tr w:rsidR="00D217D5" w:rsidRPr="00D217D5" w14:paraId="28DF6553" w14:textId="77777777" w:rsidTr="6A3D7302">
        <w:tc>
          <w:tcPr>
            <w:tcW w:w="2776" w:type="dxa"/>
          </w:tcPr>
          <w:p w14:paraId="34B3633F" w14:textId="77777777" w:rsidR="00D217D5" w:rsidRPr="00D217D5" w:rsidRDefault="00D217D5" w:rsidP="00D217D5">
            <w:r w:rsidRPr="00D217D5">
              <w:t>Paragraph</w:t>
            </w:r>
          </w:p>
        </w:tc>
        <w:tc>
          <w:tcPr>
            <w:tcW w:w="4122" w:type="dxa"/>
          </w:tcPr>
          <w:p w14:paraId="60F32A6C" w14:textId="77777777" w:rsidR="00D217D5" w:rsidRPr="00D217D5" w:rsidRDefault="00D217D5" w:rsidP="00D217D5">
            <w:r w:rsidRPr="00D217D5">
              <w:t>Current</w:t>
            </w:r>
          </w:p>
        </w:tc>
        <w:tc>
          <w:tcPr>
            <w:tcW w:w="4020" w:type="dxa"/>
          </w:tcPr>
          <w:p w14:paraId="6BAF5676" w14:textId="77777777" w:rsidR="00D217D5" w:rsidRPr="00D217D5" w:rsidRDefault="00D217D5" w:rsidP="00D217D5">
            <w:r w:rsidRPr="00D217D5">
              <w:t>Change</w:t>
            </w:r>
          </w:p>
        </w:tc>
        <w:tc>
          <w:tcPr>
            <w:tcW w:w="3256" w:type="dxa"/>
          </w:tcPr>
          <w:p w14:paraId="4094D5EB" w14:textId="77777777" w:rsidR="00D217D5" w:rsidRPr="00D217D5" w:rsidRDefault="00D217D5" w:rsidP="00D217D5">
            <w:r w:rsidRPr="00D217D5">
              <w:t>Reason</w:t>
            </w:r>
          </w:p>
        </w:tc>
      </w:tr>
      <w:tr w:rsidR="00576C92" w:rsidRPr="00D217D5" w14:paraId="05D210A2" w14:textId="77777777" w:rsidTr="6A3D7302">
        <w:tc>
          <w:tcPr>
            <w:tcW w:w="2776" w:type="dxa"/>
          </w:tcPr>
          <w:p w14:paraId="39B80E84" w14:textId="6CA29B6E" w:rsidR="00576C92" w:rsidRPr="00D217D5" w:rsidRDefault="00A05AD8" w:rsidP="00D217D5">
            <w:r>
              <w:t>19.</w:t>
            </w:r>
            <w:r w:rsidR="00B302A7">
              <w:t>2 When do these rules apply</w:t>
            </w:r>
          </w:p>
        </w:tc>
        <w:tc>
          <w:tcPr>
            <w:tcW w:w="4122" w:type="dxa"/>
          </w:tcPr>
          <w:p w14:paraId="6511B41E" w14:textId="06D06D25" w:rsidR="00576C92" w:rsidRPr="00D217D5" w:rsidRDefault="00B302A7" w:rsidP="00D217D5">
            <w:r w:rsidRPr="00B302A7">
              <w:t>For Contracts which are exempted contracts under Part 2, section 3 of the Public Contract Regulations 2015 (the Regulations) and, once in force, Schedule 2 of the Procurement Act 2023 (the Act) the following rules will not apply:</w:t>
            </w:r>
          </w:p>
        </w:tc>
        <w:tc>
          <w:tcPr>
            <w:tcW w:w="4020" w:type="dxa"/>
          </w:tcPr>
          <w:p w14:paraId="04296C2B" w14:textId="77777777" w:rsidR="00B302A7" w:rsidRPr="00B302A7" w:rsidRDefault="00B302A7" w:rsidP="00B302A7">
            <w:pPr>
              <w:rPr>
                <w:lang w:bidi="en-GB"/>
              </w:rPr>
            </w:pPr>
            <w:r w:rsidRPr="00B302A7">
              <w:rPr>
                <w:lang w:bidi="en-GB"/>
              </w:rPr>
              <w:t xml:space="preserve">For Contracts which are exempted contracts under Schedule 2 of the Procurement Act 2023 (the Act) the following rules will not apply: </w:t>
            </w:r>
          </w:p>
          <w:p w14:paraId="7337DEC1" w14:textId="5E8E11C1" w:rsidR="00576C92" w:rsidRPr="00D217D5" w:rsidRDefault="00576C92" w:rsidP="00D217D5"/>
        </w:tc>
        <w:tc>
          <w:tcPr>
            <w:tcW w:w="3256" w:type="dxa"/>
          </w:tcPr>
          <w:p w14:paraId="5798C3F3" w14:textId="40240D2D" w:rsidR="00576C92" w:rsidRPr="00D217D5" w:rsidRDefault="3E09B7F3" w:rsidP="6A3D7302">
            <w:r>
              <w:t>The wording has been updated to reflect the Public Procurement Act 2023, which is the only Act now in force for new Contracts.</w:t>
            </w:r>
          </w:p>
          <w:p w14:paraId="4169759E" w14:textId="64572BFF" w:rsidR="00576C92" w:rsidRPr="00D217D5" w:rsidRDefault="00576C92" w:rsidP="00D217D5"/>
        </w:tc>
      </w:tr>
      <w:tr w:rsidR="00B302A7" w:rsidRPr="00D217D5" w14:paraId="4A88E343" w14:textId="77777777" w:rsidTr="6A3D7302">
        <w:tc>
          <w:tcPr>
            <w:tcW w:w="2776" w:type="dxa"/>
          </w:tcPr>
          <w:p w14:paraId="5CDA4F2C" w14:textId="48C6D6F9" w:rsidR="00B302A7" w:rsidRDefault="00B302A7" w:rsidP="00D217D5">
            <w:r>
              <w:t>19.2 When do these rules apply</w:t>
            </w:r>
          </w:p>
        </w:tc>
        <w:tc>
          <w:tcPr>
            <w:tcW w:w="4122" w:type="dxa"/>
          </w:tcPr>
          <w:p w14:paraId="593127DE" w14:textId="0CCD7501" w:rsidR="00E32CAF" w:rsidRPr="00E32CAF" w:rsidRDefault="00E32CAF" w:rsidP="00E32CAF">
            <w:pPr>
              <w:rPr>
                <w:rFonts w:eastAsia="Arial"/>
                <w:kern w:val="0"/>
                <w:lang w:eastAsia="en-GB" w:bidi="en-GB"/>
                <w14:ligatures w14:val="none"/>
              </w:rPr>
            </w:pPr>
            <w:r w:rsidRPr="00E32CAF">
              <w:rPr>
                <w:rFonts w:eastAsia="Arial"/>
                <w:kern w:val="0"/>
                <w:lang w:eastAsia="en-GB" w:bidi="en-GB"/>
                <w14:ligatures w14:val="none"/>
              </w:rPr>
              <w:t>contracts above the relevant procurement law</w:t>
            </w:r>
            <w:r>
              <w:rPr>
                <w:rFonts w:eastAsia="Arial"/>
                <w:kern w:val="0"/>
                <w:lang w:eastAsia="en-GB" w:bidi="en-GB"/>
                <w14:ligatures w14:val="none"/>
              </w:rPr>
              <w:t xml:space="preserve"> </w:t>
            </w:r>
            <w:r w:rsidRPr="00E32CAF">
              <w:rPr>
                <w:rFonts w:eastAsia="Arial"/>
                <w:kern w:val="0"/>
                <w:lang w:eastAsia="en-GB" w:bidi="en-GB"/>
                <w14:ligatures w14:val="none"/>
              </w:rPr>
              <w:t>threshold which are procured using the negotiated</w:t>
            </w:r>
          </w:p>
          <w:p w14:paraId="3FC23A8C" w14:textId="67DD8BA4" w:rsidR="00E32CAF" w:rsidRPr="00E32CAF" w:rsidRDefault="00E32CAF" w:rsidP="00E32CAF">
            <w:pPr>
              <w:rPr>
                <w:rFonts w:eastAsia="Arial"/>
                <w:kern w:val="0"/>
                <w:lang w:eastAsia="en-GB" w:bidi="en-GB"/>
                <w14:ligatures w14:val="none"/>
              </w:rPr>
            </w:pPr>
            <w:r w:rsidRPr="00E32CAF">
              <w:rPr>
                <w:rFonts w:eastAsia="Arial"/>
                <w:kern w:val="0"/>
                <w:lang w:eastAsia="en-GB" w:bidi="en-GB"/>
                <w14:ligatures w14:val="none"/>
              </w:rPr>
              <w:t>procedure without prior publication under Regulation</w:t>
            </w:r>
            <w:r>
              <w:rPr>
                <w:rFonts w:eastAsia="Arial"/>
                <w:kern w:val="0"/>
                <w:lang w:eastAsia="en-GB" w:bidi="en-GB"/>
                <w14:ligatures w14:val="none"/>
              </w:rPr>
              <w:t xml:space="preserve"> </w:t>
            </w:r>
            <w:r w:rsidRPr="00E32CAF">
              <w:rPr>
                <w:rFonts w:eastAsia="Arial"/>
                <w:kern w:val="0"/>
                <w:lang w:eastAsia="en-GB" w:bidi="en-GB"/>
                <w14:ligatures w14:val="none"/>
              </w:rPr>
              <w:t>26 (2)(h) of the Procurement Act 2023, when</w:t>
            </w:r>
          </w:p>
          <w:p w14:paraId="7D90BAFA" w14:textId="77777777" w:rsidR="003C65EC" w:rsidRPr="003C65EC" w:rsidRDefault="00E32CAF" w:rsidP="003C65EC">
            <w:pPr>
              <w:rPr>
                <w:rFonts w:eastAsia="Arial"/>
                <w:kern w:val="0"/>
                <w:lang w:eastAsia="en-GB" w:bidi="en-GB"/>
                <w14:ligatures w14:val="none"/>
              </w:rPr>
            </w:pPr>
            <w:r w:rsidRPr="00E32CAF">
              <w:rPr>
                <w:rFonts w:eastAsia="Arial"/>
                <w:kern w:val="0"/>
                <w:lang w:eastAsia="en-GB" w:bidi="en-GB"/>
                <w14:ligatures w14:val="none"/>
              </w:rPr>
              <w:t>enacted, except insofar as to require compliance</w:t>
            </w:r>
            <w:r>
              <w:rPr>
                <w:rFonts w:eastAsia="Arial"/>
                <w:kern w:val="0"/>
                <w:lang w:eastAsia="en-GB" w:bidi="en-GB"/>
                <w14:ligatures w14:val="none"/>
              </w:rPr>
              <w:t xml:space="preserve"> </w:t>
            </w:r>
            <w:r w:rsidRPr="00E32CAF">
              <w:rPr>
                <w:rFonts w:eastAsia="Arial"/>
                <w:kern w:val="0"/>
                <w:lang w:eastAsia="en-GB" w:bidi="en-GB"/>
                <w14:ligatures w14:val="none"/>
              </w:rPr>
              <w:t>with the Regulations (Service Directors are</w:t>
            </w:r>
            <w:r w:rsidR="003C65EC">
              <w:rPr>
                <w:rFonts w:eastAsia="Arial"/>
                <w:kern w:val="0"/>
                <w:lang w:eastAsia="en-GB" w:bidi="en-GB"/>
                <w14:ligatures w14:val="none"/>
              </w:rPr>
              <w:t xml:space="preserve"> </w:t>
            </w:r>
            <w:r w:rsidR="003C65EC" w:rsidRPr="003C65EC">
              <w:rPr>
                <w:rFonts w:eastAsia="Arial"/>
                <w:kern w:val="0"/>
                <w:lang w:eastAsia="en-GB" w:bidi="en-GB"/>
                <w14:ligatures w14:val="none"/>
              </w:rPr>
              <w:t>authorised to take appropriate action subject to</w:t>
            </w:r>
          </w:p>
          <w:p w14:paraId="3E1C336F" w14:textId="4043500B" w:rsidR="00B302A7" w:rsidRPr="003C65EC" w:rsidRDefault="003C65EC" w:rsidP="003C65EC">
            <w:pPr>
              <w:rPr>
                <w:rFonts w:eastAsia="Arial"/>
                <w:kern w:val="0"/>
                <w:lang w:eastAsia="en-GB" w:bidi="en-GB"/>
                <w14:ligatures w14:val="none"/>
              </w:rPr>
            </w:pPr>
            <w:r w:rsidRPr="003C65EC">
              <w:rPr>
                <w:rFonts w:eastAsia="Arial"/>
                <w:kern w:val="0"/>
                <w:lang w:eastAsia="en-GB" w:bidi="en-GB"/>
                <w14:ligatures w14:val="none"/>
              </w:rPr>
              <w:t>agreement with the Monitoring Officer and mu</w:t>
            </w:r>
            <w:r>
              <w:rPr>
                <w:rFonts w:eastAsia="Arial"/>
                <w:kern w:val="0"/>
                <w:lang w:eastAsia="en-GB" w:bidi="en-GB"/>
                <w14:ligatures w14:val="none"/>
              </w:rPr>
              <w:t>s</w:t>
            </w:r>
            <w:r w:rsidRPr="003C65EC">
              <w:rPr>
                <w:rFonts w:eastAsia="Arial"/>
                <w:kern w:val="0"/>
                <w:lang w:eastAsia="en-GB" w:bidi="en-GB"/>
                <w14:ligatures w14:val="none"/>
              </w:rPr>
              <w:t>t report such action and the expen</w:t>
            </w:r>
            <w:r>
              <w:rPr>
                <w:rFonts w:eastAsia="Arial"/>
                <w:kern w:val="0"/>
                <w:lang w:eastAsia="en-GB" w:bidi="en-GB"/>
                <w14:ligatures w14:val="none"/>
              </w:rPr>
              <w:t xml:space="preserve">diture incurred to the </w:t>
            </w:r>
            <w:r w:rsidRPr="003C65EC">
              <w:rPr>
                <w:rFonts w:eastAsia="Arial"/>
                <w:kern w:val="0"/>
                <w:lang w:eastAsia="en-GB" w:bidi="en-GB"/>
                <w14:ligatures w14:val="none"/>
              </w:rPr>
              <w:t xml:space="preserve">      next meeting of the Cabinet.)</w:t>
            </w:r>
          </w:p>
        </w:tc>
        <w:tc>
          <w:tcPr>
            <w:tcW w:w="4020" w:type="dxa"/>
          </w:tcPr>
          <w:p w14:paraId="5AEE0B1B" w14:textId="233644AA" w:rsidR="00B302A7" w:rsidRPr="00B302A7" w:rsidRDefault="00127F70" w:rsidP="00B302A7">
            <w:pPr>
              <w:rPr>
                <w:lang w:bidi="en-GB"/>
              </w:rPr>
            </w:pPr>
            <w:r w:rsidRPr="00127F70">
              <w:rPr>
                <w:rFonts w:eastAsia="Arial"/>
                <w:kern w:val="0"/>
                <w:lang w:eastAsia="en-GB" w:bidi="en-GB"/>
                <w14:ligatures w14:val="none"/>
              </w:rPr>
              <w:t xml:space="preserve">contracts above the relevant procurement law threshold which are procured without prior publication under section 41(1) of the Procurement Act 2023, except insofar as to require compliance with the Procurement Regulations 2024 (Service Directors are authorised to take appropriate action </w:t>
            </w:r>
            <w:r w:rsidRPr="00127F70">
              <w:rPr>
                <w:rFonts w:eastAsia="Arial"/>
                <w:b/>
                <w:bCs/>
                <w:kern w:val="0"/>
                <w:lang w:eastAsia="en-GB" w:bidi="en-GB"/>
                <w14:ligatures w14:val="none"/>
              </w:rPr>
              <w:t xml:space="preserve">subject to agreement with the Monitoring Officer </w:t>
            </w:r>
            <w:r w:rsidRPr="00127F70">
              <w:rPr>
                <w:rFonts w:eastAsia="Arial"/>
                <w:kern w:val="0"/>
                <w:lang w:eastAsia="en-GB" w:bidi="en-GB"/>
                <w14:ligatures w14:val="none"/>
              </w:rPr>
              <w:t>and must report such action and the expenditure incurred to the next meeting of the Cabinet.)</w:t>
            </w:r>
          </w:p>
        </w:tc>
        <w:tc>
          <w:tcPr>
            <w:tcW w:w="3256" w:type="dxa"/>
          </w:tcPr>
          <w:p w14:paraId="792CE638" w14:textId="40240D2D" w:rsidR="00B302A7" w:rsidRPr="00D217D5" w:rsidRDefault="7DE56ACC" w:rsidP="6A3D7302">
            <w:r>
              <w:t>The wording has been updated to reflect t</w:t>
            </w:r>
            <w:r w:rsidR="6689662F">
              <w:t>he Public Procurement Act 2023, which is the only Act now</w:t>
            </w:r>
            <w:r>
              <w:t xml:space="preserve"> in force for new Contracts.</w:t>
            </w:r>
          </w:p>
        </w:tc>
      </w:tr>
      <w:tr w:rsidR="00A82E73" w:rsidRPr="00D217D5" w14:paraId="1EA9A40A" w14:textId="77777777" w:rsidTr="6A3D7302">
        <w:tc>
          <w:tcPr>
            <w:tcW w:w="2776" w:type="dxa"/>
          </w:tcPr>
          <w:p w14:paraId="39E378D9" w14:textId="047BCADA" w:rsidR="00A82E73" w:rsidRDefault="00A82E73" w:rsidP="00D217D5">
            <w:r>
              <w:t xml:space="preserve">19.6 Before a contract </w:t>
            </w:r>
            <w:r>
              <w:lastRenderedPageBreak/>
              <w:t>is tendered and/or awarded</w:t>
            </w:r>
          </w:p>
        </w:tc>
        <w:tc>
          <w:tcPr>
            <w:tcW w:w="4122" w:type="dxa"/>
          </w:tcPr>
          <w:p w14:paraId="47977391" w14:textId="77777777" w:rsidR="008D3911" w:rsidRPr="008D3911" w:rsidRDefault="008D3911" w:rsidP="008D3911">
            <w:pPr>
              <w:rPr>
                <w:rFonts w:eastAsia="Arial"/>
                <w:kern w:val="0"/>
                <w:lang w:eastAsia="en-GB" w:bidi="en-GB"/>
                <w14:ligatures w14:val="none"/>
              </w:rPr>
            </w:pPr>
            <w:r w:rsidRPr="008D3911">
              <w:rPr>
                <w:rFonts w:eastAsia="Arial"/>
                <w:kern w:val="0"/>
                <w:lang w:eastAsia="en-GB" w:bidi="en-GB"/>
                <w14:ligatures w14:val="none"/>
              </w:rPr>
              <w:lastRenderedPageBreak/>
              <w:t xml:space="preserve">For all contracts over FTS a </w:t>
            </w:r>
            <w:r w:rsidRPr="008D3911">
              <w:rPr>
                <w:rFonts w:eastAsia="Arial"/>
                <w:kern w:val="0"/>
                <w:lang w:eastAsia="en-GB" w:bidi="en-GB"/>
                <w14:ligatures w14:val="none"/>
              </w:rPr>
              <w:lastRenderedPageBreak/>
              <w:t>financial appraisal has been</w:t>
            </w:r>
          </w:p>
          <w:p w14:paraId="1839560C" w14:textId="77777777" w:rsidR="008D3911" w:rsidRPr="008D3911" w:rsidRDefault="008D3911" w:rsidP="008D3911">
            <w:pPr>
              <w:rPr>
                <w:rFonts w:eastAsia="Arial"/>
                <w:kern w:val="0"/>
                <w:lang w:eastAsia="en-GB" w:bidi="en-GB"/>
                <w14:ligatures w14:val="none"/>
              </w:rPr>
            </w:pPr>
            <w:r w:rsidRPr="008D3911">
              <w:rPr>
                <w:rFonts w:eastAsia="Arial"/>
                <w:kern w:val="0"/>
                <w:lang w:eastAsia="en-GB" w:bidi="en-GB"/>
                <w14:ligatures w14:val="none"/>
              </w:rPr>
              <w:t>undertaken by the Group Finance Director. The relevant Service</w:t>
            </w:r>
          </w:p>
          <w:p w14:paraId="6AA6D210" w14:textId="77777777" w:rsidR="008D3911" w:rsidRPr="008D3911" w:rsidRDefault="008D3911" w:rsidP="008D3911">
            <w:pPr>
              <w:rPr>
                <w:rFonts w:eastAsia="Arial"/>
                <w:kern w:val="0"/>
                <w:lang w:eastAsia="en-GB" w:bidi="en-GB"/>
                <w14:ligatures w14:val="none"/>
              </w:rPr>
            </w:pPr>
            <w:r w:rsidRPr="008D3911">
              <w:rPr>
                <w:rFonts w:eastAsia="Arial"/>
                <w:kern w:val="0"/>
                <w:lang w:eastAsia="en-GB" w:bidi="en-GB"/>
                <w14:ligatures w14:val="none"/>
              </w:rPr>
              <w:t>Director must not award the contract until it has been approved by</w:t>
            </w:r>
          </w:p>
          <w:p w14:paraId="1CD5A980" w14:textId="77777777" w:rsidR="008D3911" w:rsidRPr="008D3911" w:rsidRDefault="008D3911" w:rsidP="008D3911">
            <w:pPr>
              <w:rPr>
                <w:rFonts w:eastAsia="Arial"/>
                <w:kern w:val="0"/>
                <w:lang w:eastAsia="en-GB" w:bidi="en-GB"/>
                <w14:ligatures w14:val="none"/>
              </w:rPr>
            </w:pPr>
            <w:r w:rsidRPr="008D3911">
              <w:rPr>
                <w:rFonts w:eastAsia="Arial"/>
                <w:kern w:val="0"/>
                <w:lang w:eastAsia="en-GB" w:bidi="en-GB"/>
                <w14:ligatures w14:val="none"/>
              </w:rPr>
              <w:t>the Group Finance Director, and a named contract manager</w:t>
            </w:r>
          </w:p>
          <w:p w14:paraId="4BD44660" w14:textId="77777777" w:rsidR="008D3911" w:rsidRPr="008D3911" w:rsidRDefault="008D3911" w:rsidP="008D3911">
            <w:pPr>
              <w:rPr>
                <w:rFonts w:eastAsia="Arial"/>
                <w:kern w:val="0"/>
                <w:lang w:eastAsia="en-GB" w:bidi="en-GB"/>
                <w14:ligatures w14:val="none"/>
              </w:rPr>
            </w:pPr>
            <w:r w:rsidRPr="008D3911">
              <w:rPr>
                <w:rFonts w:eastAsia="Arial"/>
                <w:kern w:val="0"/>
                <w:lang w:eastAsia="en-GB" w:bidi="en-GB"/>
                <w14:ligatures w14:val="none"/>
              </w:rPr>
              <w:t>appointed.</w:t>
            </w:r>
          </w:p>
          <w:p w14:paraId="299CB787" w14:textId="38712E2A" w:rsidR="008D3911" w:rsidRPr="008D3911" w:rsidRDefault="008D3911" w:rsidP="008D3911">
            <w:pPr>
              <w:rPr>
                <w:rFonts w:eastAsia="Arial"/>
                <w:kern w:val="0"/>
                <w:lang w:eastAsia="en-GB" w:bidi="en-GB"/>
                <w14:ligatures w14:val="none"/>
              </w:rPr>
            </w:pPr>
            <w:r w:rsidRPr="008D3911">
              <w:rPr>
                <w:rFonts w:eastAsia="Arial"/>
                <w:kern w:val="0"/>
                <w:lang w:eastAsia="en-GB" w:bidi="en-GB"/>
                <w14:ligatures w14:val="none"/>
              </w:rPr>
              <w:t>For all quotes and tenders over the FTS threshold a Procurement</w:t>
            </w:r>
          </w:p>
          <w:p w14:paraId="7C398A09" w14:textId="77777777" w:rsidR="008D3911" w:rsidRPr="008D3911" w:rsidRDefault="008D3911" w:rsidP="008D3911">
            <w:pPr>
              <w:rPr>
                <w:rFonts w:eastAsia="Arial"/>
                <w:kern w:val="0"/>
                <w:lang w:eastAsia="en-GB" w:bidi="en-GB"/>
                <w14:ligatures w14:val="none"/>
              </w:rPr>
            </w:pPr>
            <w:r w:rsidRPr="008D3911">
              <w:rPr>
                <w:rFonts w:eastAsia="Arial"/>
                <w:kern w:val="0"/>
                <w:lang w:eastAsia="en-GB" w:bidi="en-GB"/>
                <w14:ligatures w14:val="none"/>
              </w:rPr>
              <w:t>Commencement Document (available from the Council’s intranet)</w:t>
            </w:r>
          </w:p>
          <w:p w14:paraId="46716CDC" w14:textId="77777777" w:rsidR="008D3911" w:rsidRPr="008D3911" w:rsidRDefault="008D3911" w:rsidP="008D3911">
            <w:pPr>
              <w:rPr>
                <w:rFonts w:eastAsia="Arial"/>
                <w:kern w:val="0"/>
                <w:lang w:eastAsia="en-GB" w:bidi="en-GB"/>
                <w14:ligatures w14:val="none"/>
              </w:rPr>
            </w:pPr>
            <w:r w:rsidRPr="008D3911">
              <w:rPr>
                <w:rFonts w:eastAsia="Arial"/>
                <w:kern w:val="0"/>
                <w:lang w:eastAsia="en-GB" w:bidi="en-GB"/>
                <w14:ligatures w14:val="none"/>
              </w:rPr>
              <w:t>which evaluates options for the solution to be procured and route to</w:t>
            </w:r>
          </w:p>
          <w:p w14:paraId="669FF35F" w14:textId="2F1598F7" w:rsidR="00A82E73" w:rsidRPr="008D3911" w:rsidRDefault="008D3911" w:rsidP="008D3911">
            <w:pPr>
              <w:rPr>
                <w:rFonts w:eastAsia="Arial"/>
                <w:lang w:eastAsia="en-GB" w:bidi="en-GB"/>
                <w14:ligatures w14:val="none"/>
              </w:rPr>
            </w:pPr>
            <w:r w:rsidRPr="008D3911">
              <w:rPr>
                <w:rFonts w:eastAsia="Arial"/>
                <w:kern w:val="0"/>
                <w:lang w:eastAsia="en-GB" w:bidi="en-GB"/>
                <w14:ligatures w14:val="none"/>
              </w:rPr>
              <w:t>market must be produced and approved by the Procurement Team</w:t>
            </w:r>
            <w:r>
              <w:rPr>
                <w:rFonts w:eastAsia="Arial"/>
                <w:kern w:val="0"/>
                <w:lang w:eastAsia="en-GB" w:bidi="en-GB"/>
                <w14:ligatures w14:val="none"/>
              </w:rPr>
              <w:t xml:space="preserve"> </w:t>
            </w:r>
            <w:bookmarkStart w:id="4" w:name="Where_the_total_maximum_contract_value_i"/>
            <w:bookmarkStart w:id="5" w:name="19.7_Total_contract_value"/>
            <w:bookmarkStart w:id="6" w:name="19.8_Sub-contracting"/>
            <w:bookmarkStart w:id="7" w:name="19.9_Framework_Agreements_and_Dynamic_Ma"/>
            <w:bookmarkStart w:id="8" w:name="The_Council_may_use_Framework_Agreements"/>
            <w:bookmarkEnd w:id="4"/>
            <w:bookmarkEnd w:id="5"/>
            <w:bookmarkEnd w:id="6"/>
            <w:bookmarkEnd w:id="7"/>
            <w:bookmarkEnd w:id="8"/>
            <w:r w:rsidRPr="008D3911">
              <w:rPr>
                <w:rFonts w:eastAsia="Arial"/>
                <w:lang w:eastAsia="en-GB" w:bidi="en-GB"/>
                <w14:ligatures w14:val="none"/>
              </w:rPr>
              <w:t>and the relevant Service Director.</w:t>
            </w:r>
          </w:p>
        </w:tc>
        <w:tc>
          <w:tcPr>
            <w:tcW w:w="4020" w:type="dxa"/>
          </w:tcPr>
          <w:p w14:paraId="4AEC6547" w14:textId="77777777" w:rsidR="00A82E73" w:rsidRPr="00A82E73" w:rsidRDefault="00A82E73" w:rsidP="00A82E73">
            <w:pPr>
              <w:rPr>
                <w:rFonts w:eastAsia="Arial"/>
                <w:kern w:val="0"/>
                <w:lang w:eastAsia="en-GB" w:bidi="en-GB"/>
                <w14:ligatures w14:val="none"/>
              </w:rPr>
            </w:pPr>
            <w:r w:rsidRPr="00A82E73">
              <w:rPr>
                <w:rFonts w:eastAsia="Arial"/>
                <w:kern w:val="0"/>
                <w:lang w:eastAsia="en-GB" w:bidi="en-GB"/>
                <w14:ligatures w14:val="none"/>
              </w:rPr>
              <w:lastRenderedPageBreak/>
              <w:t xml:space="preserve">For all contracts over the public </w:t>
            </w:r>
            <w:r w:rsidRPr="00A82E73">
              <w:rPr>
                <w:rFonts w:eastAsia="Arial"/>
                <w:kern w:val="0"/>
                <w:lang w:eastAsia="en-GB" w:bidi="en-GB"/>
                <w14:ligatures w14:val="none"/>
              </w:rPr>
              <w:lastRenderedPageBreak/>
              <w:t>procurement regulatory thresholds a financial appraisal has been undertaken by the Group Finance Director. The relevant Service Director must not award the contract until it has been approved by the Group Finance Director, and a named contract manager appointed.</w:t>
            </w:r>
          </w:p>
          <w:p w14:paraId="69F643AF" w14:textId="565F3A5E" w:rsidR="00A82E73" w:rsidRPr="00A82E73" w:rsidRDefault="00A82E73" w:rsidP="00A82E73">
            <w:pPr>
              <w:rPr>
                <w:rFonts w:eastAsia="Arial"/>
                <w:kern w:val="0"/>
                <w:lang w:eastAsia="en-GB" w:bidi="en-GB"/>
                <w14:ligatures w14:val="none"/>
              </w:rPr>
            </w:pPr>
            <w:r w:rsidRPr="00A82E73">
              <w:rPr>
                <w:rFonts w:eastAsia="Arial"/>
                <w:kern w:val="0"/>
                <w:lang w:eastAsia="en-GB" w:bidi="en-GB"/>
                <w14:ligatures w14:val="none"/>
              </w:rPr>
              <w:t>For all quotes and tenders over the public procurement regulatory thresholds a Procurement Commencement Document (available from the Council’s intranet) which evaluates options for the solution to be procured and route to market must be produced by the procuring officer and approved by the Procurement Team and the relevant Service Director.</w:t>
            </w:r>
          </w:p>
          <w:p w14:paraId="21487BD9" w14:textId="77777777" w:rsidR="00A82E73" w:rsidRPr="00127F70" w:rsidRDefault="00A82E73" w:rsidP="00B302A7">
            <w:pPr>
              <w:rPr>
                <w:rFonts w:eastAsia="Arial"/>
                <w:kern w:val="0"/>
                <w:lang w:eastAsia="en-GB" w:bidi="en-GB"/>
                <w14:ligatures w14:val="none"/>
              </w:rPr>
            </w:pPr>
          </w:p>
        </w:tc>
        <w:tc>
          <w:tcPr>
            <w:tcW w:w="3256" w:type="dxa"/>
          </w:tcPr>
          <w:p w14:paraId="74C402BB" w14:textId="5575F56A" w:rsidR="00A82E73" w:rsidRPr="00D217D5" w:rsidRDefault="52D0DCD1" w:rsidP="00D217D5">
            <w:r>
              <w:lastRenderedPageBreak/>
              <w:t xml:space="preserve">Updating from FTS (Find a </w:t>
            </w:r>
            <w:r>
              <w:lastRenderedPageBreak/>
              <w:t>Tender, also known as Central Digital Platform) and stating that this applies to all Contracts over the</w:t>
            </w:r>
            <w:r w:rsidR="36F94D32">
              <w:t xml:space="preserve"> Public</w:t>
            </w:r>
            <w:r>
              <w:t xml:space="preserve"> Procurement R</w:t>
            </w:r>
            <w:r w:rsidR="2FAF1039">
              <w:t>e</w:t>
            </w:r>
            <w:r>
              <w:t>gu</w:t>
            </w:r>
            <w:r w:rsidR="2DF874BA">
              <w:t>latory Thresholds which are published on the Councils Intranet.</w:t>
            </w:r>
            <w:r w:rsidR="6D220B07">
              <w:t xml:space="preserve">  This means that when the value changes there will be one place to update.</w:t>
            </w:r>
          </w:p>
        </w:tc>
      </w:tr>
      <w:tr w:rsidR="009315B3" w:rsidRPr="00D217D5" w14:paraId="29122AF9" w14:textId="77777777" w:rsidTr="6A3D7302">
        <w:tc>
          <w:tcPr>
            <w:tcW w:w="2776" w:type="dxa"/>
          </w:tcPr>
          <w:p w14:paraId="047CBE50" w14:textId="1430380D" w:rsidR="009315B3" w:rsidRDefault="009315B3" w:rsidP="00D217D5">
            <w:r>
              <w:lastRenderedPageBreak/>
              <w:t>19.7 Total contract value</w:t>
            </w:r>
          </w:p>
        </w:tc>
        <w:tc>
          <w:tcPr>
            <w:tcW w:w="4122" w:type="dxa"/>
          </w:tcPr>
          <w:p w14:paraId="5F81E639" w14:textId="13F32D0D" w:rsidR="006921BE" w:rsidRPr="006921BE" w:rsidRDefault="006921BE" w:rsidP="006921BE">
            <w:pPr>
              <w:rPr>
                <w:rFonts w:eastAsia="Arial"/>
                <w:kern w:val="0"/>
                <w:lang w:eastAsia="en-GB" w:bidi="en-GB"/>
                <w14:ligatures w14:val="none"/>
              </w:rPr>
            </w:pPr>
            <w:r w:rsidRPr="006921BE">
              <w:rPr>
                <w:rFonts w:eastAsia="Arial"/>
                <w:b/>
                <w:bCs/>
                <w:kern w:val="0"/>
                <w:lang w:eastAsia="en-GB" w:bidi="en-GB"/>
                <w14:ligatures w14:val="none"/>
              </w:rPr>
              <w:t xml:space="preserve">Goods, Services and Works: </w:t>
            </w:r>
            <w:r w:rsidRPr="006921BE">
              <w:rPr>
                <w:rFonts w:eastAsia="Arial"/>
                <w:kern w:val="0"/>
                <w:lang w:eastAsia="en-GB" w:bidi="en-GB"/>
                <w14:ligatures w14:val="none"/>
              </w:rPr>
              <w:t xml:space="preserve">The total contract value is the total amount (including VAT) that is expected to be paid to the supplier </w:t>
            </w:r>
            <w:proofErr w:type="gramStart"/>
            <w:r w:rsidRPr="006921BE">
              <w:rPr>
                <w:rFonts w:eastAsia="Arial"/>
                <w:kern w:val="0"/>
                <w:lang w:eastAsia="en-GB" w:bidi="en-GB"/>
                <w14:ligatures w14:val="none"/>
              </w:rPr>
              <w:t>as a result of</w:t>
            </w:r>
            <w:proofErr w:type="gramEnd"/>
            <w:r w:rsidRPr="006921BE">
              <w:rPr>
                <w:rFonts w:eastAsia="Arial"/>
                <w:kern w:val="0"/>
                <w:lang w:eastAsia="en-GB" w:bidi="en-GB"/>
                <w14:ligatures w14:val="none"/>
              </w:rPr>
              <w:t xml:space="preserve"> the contract award during the whole life of the contract. This includes </w:t>
            </w:r>
            <w:r>
              <w:rPr>
                <w:rFonts w:eastAsia="Arial"/>
                <w:kern w:val="0"/>
                <w:lang w:eastAsia="en-GB" w:bidi="en-GB"/>
                <w14:ligatures w14:val="none"/>
              </w:rPr>
              <w:t>aby possible extensions to the contract.</w:t>
            </w:r>
          </w:p>
          <w:p w14:paraId="409DBBEF" w14:textId="77777777" w:rsidR="009315B3" w:rsidRPr="008D3911" w:rsidRDefault="009315B3" w:rsidP="008D3911">
            <w:pPr>
              <w:rPr>
                <w:rFonts w:eastAsia="Arial"/>
                <w:kern w:val="0"/>
                <w:lang w:eastAsia="en-GB" w:bidi="en-GB"/>
                <w14:ligatures w14:val="none"/>
              </w:rPr>
            </w:pPr>
          </w:p>
        </w:tc>
        <w:tc>
          <w:tcPr>
            <w:tcW w:w="4020" w:type="dxa"/>
          </w:tcPr>
          <w:p w14:paraId="7E3F947D" w14:textId="61F718DE" w:rsidR="009315B3" w:rsidRPr="00A82E73" w:rsidRDefault="006921BE" w:rsidP="00A82E73">
            <w:pPr>
              <w:rPr>
                <w:rFonts w:eastAsia="Arial"/>
                <w:kern w:val="0"/>
                <w:lang w:eastAsia="en-GB" w:bidi="en-GB"/>
                <w14:ligatures w14:val="none"/>
              </w:rPr>
            </w:pPr>
            <w:r w:rsidRPr="006921BE">
              <w:rPr>
                <w:rFonts w:eastAsia="Arial"/>
                <w:b/>
                <w:bCs/>
                <w:kern w:val="0"/>
                <w:lang w:eastAsia="en-GB" w:bidi="en-GB"/>
                <w14:ligatures w14:val="none"/>
              </w:rPr>
              <w:t xml:space="preserve">Goods, Services and Works: </w:t>
            </w:r>
            <w:r w:rsidRPr="006921BE">
              <w:rPr>
                <w:rFonts w:eastAsia="Arial"/>
                <w:kern w:val="0"/>
                <w:lang w:eastAsia="en-GB" w:bidi="en-GB"/>
                <w14:ligatures w14:val="none"/>
              </w:rPr>
              <w:t xml:space="preserve">The total contract value is the total amount (including VAT) that is expected to be paid to the supplier </w:t>
            </w:r>
            <w:proofErr w:type="gramStart"/>
            <w:r w:rsidRPr="006921BE">
              <w:rPr>
                <w:rFonts w:eastAsia="Arial"/>
                <w:kern w:val="0"/>
                <w:lang w:eastAsia="en-GB" w:bidi="en-GB"/>
                <w14:ligatures w14:val="none"/>
              </w:rPr>
              <w:t>as a result of</w:t>
            </w:r>
            <w:proofErr w:type="gramEnd"/>
            <w:r w:rsidRPr="006921BE">
              <w:rPr>
                <w:rFonts w:eastAsia="Arial"/>
                <w:kern w:val="0"/>
                <w:lang w:eastAsia="en-GB" w:bidi="en-GB"/>
                <w14:ligatures w14:val="none"/>
              </w:rPr>
              <w:t xml:space="preserve"> the contract award during the whole life of the contract. This includes all potential payments from optional extensions, renewals, or additional suppliers adhering to the methodology set out in </w:t>
            </w:r>
            <w:r w:rsidRPr="006921BE">
              <w:rPr>
                <w:rFonts w:eastAsia="Arial"/>
                <w:kern w:val="0"/>
                <w:lang w:eastAsia="en-GB" w:bidi="en-GB"/>
                <w14:ligatures w14:val="none"/>
              </w:rPr>
              <w:lastRenderedPageBreak/>
              <w:t>Schedule 3 of the Procurement Act 2023.</w:t>
            </w:r>
          </w:p>
        </w:tc>
        <w:tc>
          <w:tcPr>
            <w:tcW w:w="3256" w:type="dxa"/>
          </w:tcPr>
          <w:p w14:paraId="6830895A" w14:textId="3A7832AC" w:rsidR="009315B3" w:rsidRPr="00D217D5" w:rsidRDefault="3A6917C7" w:rsidP="00D217D5">
            <w:r>
              <w:lastRenderedPageBreak/>
              <w:t>Ensuring that this clause is in-line with the PPA 2023 wording and providing guidance to users as to how to evaluate the whole life cost.</w:t>
            </w:r>
          </w:p>
        </w:tc>
      </w:tr>
      <w:tr w:rsidR="007544A4" w:rsidRPr="00D217D5" w14:paraId="0C221C17" w14:textId="77777777" w:rsidTr="6A3D7302">
        <w:tc>
          <w:tcPr>
            <w:tcW w:w="2776" w:type="dxa"/>
          </w:tcPr>
          <w:p w14:paraId="43C2001E" w14:textId="4C7D8653" w:rsidR="007544A4" w:rsidRDefault="007544A4" w:rsidP="00D217D5">
            <w:r>
              <w:t>19.9 Framework Agreements and Dynamic Markets</w:t>
            </w:r>
          </w:p>
        </w:tc>
        <w:tc>
          <w:tcPr>
            <w:tcW w:w="4122" w:type="dxa"/>
          </w:tcPr>
          <w:p w14:paraId="048B4BB4" w14:textId="7E3EC899" w:rsidR="007544A4" w:rsidRPr="003A4AED" w:rsidRDefault="003A4AED" w:rsidP="006921BE">
            <w:pPr>
              <w:rPr>
                <w:rFonts w:eastAsia="Arial"/>
                <w:kern w:val="0"/>
                <w:lang w:eastAsia="en-GB" w:bidi="en-GB"/>
                <w14:ligatures w14:val="none"/>
              </w:rPr>
            </w:pPr>
            <w:r w:rsidRPr="003A4AED">
              <w:rPr>
                <w:rFonts w:eastAsia="Arial"/>
                <w:kern w:val="0"/>
                <w:lang w:eastAsia="en-GB" w:bidi="en-GB"/>
                <w14:ligatures w14:val="none"/>
              </w:rPr>
              <w:t>The Council may use Framework Agreements and Dynamic Markets set up by third parties where the Framework Agreement or Dynamic Market entitles the Council to do so, subject to the approval of Procurement Team and Legal Services, other than for contracts under the relevant value where standing approval is given.</w:t>
            </w:r>
          </w:p>
        </w:tc>
        <w:tc>
          <w:tcPr>
            <w:tcW w:w="4020" w:type="dxa"/>
          </w:tcPr>
          <w:p w14:paraId="6EE3F2D5" w14:textId="7E34B398" w:rsidR="007544A4" w:rsidRPr="003A4AED" w:rsidRDefault="003A4AED" w:rsidP="00A82E73">
            <w:pPr>
              <w:rPr>
                <w:rFonts w:eastAsia="Arial"/>
                <w:kern w:val="0"/>
                <w:lang w:eastAsia="en-GB" w:bidi="en-GB"/>
                <w14:ligatures w14:val="none"/>
              </w:rPr>
            </w:pPr>
            <w:r w:rsidRPr="003A4AED">
              <w:rPr>
                <w:rFonts w:eastAsia="Arial"/>
                <w:kern w:val="0"/>
                <w:lang w:eastAsia="en-GB" w:bidi="en-GB"/>
                <w14:ligatures w14:val="none"/>
              </w:rPr>
              <w:t xml:space="preserve">The Council may use Framework Agreements and Dynamic Markets set up by third parties where the Framework Agreement or Dynamic Market entitles the Council to do so, subject to the approval of The Procurement Team and Legal Services, other than for contracts under the relevant public procurement regulatory thresholds where standing approval is given. </w:t>
            </w:r>
          </w:p>
        </w:tc>
        <w:tc>
          <w:tcPr>
            <w:tcW w:w="3256" w:type="dxa"/>
          </w:tcPr>
          <w:p w14:paraId="39E7C94B" w14:textId="4177DF9B" w:rsidR="007544A4" w:rsidRPr="00D217D5" w:rsidRDefault="097AA619" w:rsidP="29C5379A">
            <w:pPr>
              <w:spacing w:line="259" w:lineRule="auto"/>
            </w:pPr>
            <w:r>
              <w:t>Changing from FTS to Public Procurement Regulatory Threshold – the same as 19.6</w:t>
            </w:r>
          </w:p>
        </w:tc>
      </w:tr>
      <w:tr w:rsidR="004E093C" w:rsidRPr="00D217D5" w14:paraId="18CCF4A7" w14:textId="77777777" w:rsidTr="6A3D7302">
        <w:tc>
          <w:tcPr>
            <w:tcW w:w="2776" w:type="dxa"/>
          </w:tcPr>
          <w:p w14:paraId="3A9D31D5" w14:textId="42324AB6" w:rsidR="004E093C" w:rsidRDefault="004E093C" w:rsidP="00D217D5">
            <w:r>
              <w:t>19.10 Format of Contracts</w:t>
            </w:r>
          </w:p>
        </w:tc>
        <w:tc>
          <w:tcPr>
            <w:tcW w:w="4122" w:type="dxa"/>
          </w:tcPr>
          <w:p w14:paraId="3B8D8B8D" w14:textId="450EC07A" w:rsidR="004E093C" w:rsidRPr="003A4AED" w:rsidRDefault="004E093C" w:rsidP="006921BE">
            <w:pPr>
              <w:rPr>
                <w:rFonts w:eastAsia="Arial"/>
                <w:kern w:val="0"/>
                <w:lang w:eastAsia="en-GB" w:bidi="en-GB"/>
                <w14:ligatures w14:val="none"/>
              </w:rPr>
            </w:pPr>
            <w:r w:rsidRPr="004E093C">
              <w:rPr>
                <w:rFonts w:eastAsia="Arial"/>
                <w:kern w:val="0"/>
                <w:lang w:eastAsia="en-GB" w:bidi="en-GB"/>
                <w14:ligatures w14:val="none"/>
              </w:rPr>
              <w:t>The Council’s purchase order terms and conditions or bespoke contract drafted by the Council or call-off form of contract</w:t>
            </w:r>
          </w:p>
        </w:tc>
        <w:tc>
          <w:tcPr>
            <w:tcW w:w="4020" w:type="dxa"/>
          </w:tcPr>
          <w:p w14:paraId="402F6B87" w14:textId="7024F7AD" w:rsidR="004E093C" w:rsidRPr="003A4AED" w:rsidRDefault="004E093C" w:rsidP="00A82E73">
            <w:pPr>
              <w:rPr>
                <w:rFonts w:eastAsia="Arial"/>
                <w:kern w:val="0"/>
                <w:lang w:eastAsia="en-GB" w:bidi="en-GB"/>
                <w14:ligatures w14:val="none"/>
              </w:rPr>
            </w:pPr>
            <w:r w:rsidRPr="004E093C">
              <w:rPr>
                <w:rFonts w:eastAsia="Arial"/>
                <w:kern w:val="0"/>
                <w:lang w:eastAsia="en-GB" w:bidi="en-GB"/>
                <w14:ligatures w14:val="none"/>
              </w:rPr>
              <w:t>The Council’s purchase order terms and conditions (where the purchase is of low value and low complexity) or Council’s Standard terms and conditions or bespoke contract drafted by the Council or call-off form of contract</w:t>
            </w:r>
          </w:p>
        </w:tc>
        <w:tc>
          <w:tcPr>
            <w:tcW w:w="3256" w:type="dxa"/>
          </w:tcPr>
          <w:p w14:paraId="763CE292" w14:textId="3CD2BD2C" w:rsidR="004E093C" w:rsidRPr="00D217D5" w:rsidRDefault="478ED5A0" w:rsidP="00D217D5">
            <w:r>
              <w:t>Adding in the wording (where the purchase is of low value and low complexity) to ensure that if the value of a purchase is low value, but is reliant on integration with other</w:t>
            </w:r>
            <w:r w:rsidR="57310AA1">
              <w:t xml:space="preserve"> systems, or resource</w:t>
            </w:r>
            <w:r w:rsidR="44DAE28C">
              <w:t>, or is complex</w:t>
            </w:r>
            <w:r w:rsidR="57310AA1">
              <w:t xml:space="preserve"> that Purchase order Terms are not used.</w:t>
            </w:r>
          </w:p>
        </w:tc>
      </w:tr>
      <w:tr w:rsidR="000602FD" w:rsidRPr="00D217D5" w14:paraId="0CB69608" w14:textId="77777777" w:rsidTr="6A3D7302">
        <w:tc>
          <w:tcPr>
            <w:tcW w:w="2776" w:type="dxa"/>
          </w:tcPr>
          <w:p w14:paraId="2DEB0B7B" w14:textId="3B041460" w:rsidR="000602FD" w:rsidRDefault="000602FD" w:rsidP="00D217D5">
            <w:r>
              <w:t>19.13 Exemptions and Waivers</w:t>
            </w:r>
          </w:p>
        </w:tc>
        <w:tc>
          <w:tcPr>
            <w:tcW w:w="4122" w:type="dxa"/>
          </w:tcPr>
          <w:p w14:paraId="6D06AC6C" w14:textId="732F6BB0" w:rsidR="000602FD" w:rsidRPr="000602FD" w:rsidRDefault="000602FD" w:rsidP="000602FD">
            <w:pPr>
              <w:rPr>
                <w:rFonts w:eastAsia="Arial"/>
                <w:b/>
                <w:bCs/>
                <w:kern w:val="0"/>
                <w:lang w:eastAsia="en-GB" w:bidi="en-GB"/>
                <w14:ligatures w14:val="none"/>
              </w:rPr>
            </w:pPr>
            <w:r w:rsidRPr="000602FD">
              <w:rPr>
                <w:rFonts w:eastAsia="Arial"/>
                <w:b/>
                <w:bCs/>
                <w:kern w:val="0"/>
                <w:lang w:eastAsia="en-GB" w:bidi="en-GB"/>
                <w14:ligatures w14:val="none"/>
              </w:rPr>
              <w:t>An Exemption</w:t>
            </w:r>
            <w:r w:rsidRPr="000602FD">
              <w:rPr>
                <w:rFonts w:eastAsia="Arial"/>
                <w:kern w:val="0"/>
                <w:lang w:eastAsia="en-GB" w:bidi="en-GB"/>
                <w14:ligatures w14:val="none"/>
              </w:rPr>
              <w:t xml:space="preserve"> is an approval that, for one of the following reasons, the procurement is exempt from the procurement procedure requirements contained in 19.14, 19.15 and 19.16 only (any other departures require a waiver):</w:t>
            </w:r>
          </w:p>
          <w:p w14:paraId="2D243790" w14:textId="77777777" w:rsidR="000602FD" w:rsidRPr="004E093C" w:rsidRDefault="000602FD" w:rsidP="006921BE">
            <w:pPr>
              <w:rPr>
                <w:rFonts w:eastAsia="Arial"/>
                <w:kern w:val="0"/>
                <w:lang w:eastAsia="en-GB" w:bidi="en-GB"/>
                <w14:ligatures w14:val="none"/>
              </w:rPr>
            </w:pPr>
          </w:p>
        </w:tc>
        <w:tc>
          <w:tcPr>
            <w:tcW w:w="4020" w:type="dxa"/>
          </w:tcPr>
          <w:p w14:paraId="61746CE5" w14:textId="48B47704" w:rsidR="000602FD" w:rsidRPr="004E33E5" w:rsidRDefault="000602FD" w:rsidP="00A82E73">
            <w:pPr>
              <w:rPr>
                <w:rFonts w:eastAsia="Arial"/>
                <w:b/>
                <w:bCs/>
                <w:kern w:val="0"/>
                <w:lang w:eastAsia="en-GB" w:bidi="en-GB"/>
                <w14:ligatures w14:val="none"/>
              </w:rPr>
            </w:pPr>
            <w:r w:rsidRPr="000602FD">
              <w:rPr>
                <w:rFonts w:eastAsia="Arial"/>
                <w:b/>
                <w:bCs/>
                <w:kern w:val="0"/>
                <w:lang w:eastAsia="en-GB" w:bidi="en-GB"/>
                <w14:ligatures w14:val="none"/>
              </w:rPr>
              <w:t>An Exemption</w:t>
            </w:r>
            <w:r w:rsidRPr="000602FD">
              <w:rPr>
                <w:rFonts w:eastAsia="Arial"/>
                <w:kern w:val="0"/>
                <w:lang w:eastAsia="en-GB" w:bidi="en-GB"/>
                <w14:ligatures w14:val="none"/>
              </w:rPr>
              <w:t xml:space="preserve"> is an approval that, for a below public procurement regulatory threshold for one of the following reasons, the procurement is exempt from the procurement procedure requirements contained in 19.14, 19.15 and 19.16 only (any other departures require a waiver):</w:t>
            </w:r>
          </w:p>
        </w:tc>
        <w:tc>
          <w:tcPr>
            <w:tcW w:w="3256" w:type="dxa"/>
          </w:tcPr>
          <w:p w14:paraId="4A828860" w14:textId="22E2C87F" w:rsidR="000602FD" w:rsidRPr="00D217D5" w:rsidRDefault="58A6902E" w:rsidP="00D217D5">
            <w:r>
              <w:t xml:space="preserve">Wording changed – an exemption cannot be used if the value is above the Regulatory Threshold – the change in wording </w:t>
            </w:r>
            <w:r w:rsidR="005AFF33">
              <w:t>states that an exemption is for below now. Above threshold would be a Waiver.</w:t>
            </w:r>
          </w:p>
        </w:tc>
      </w:tr>
      <w:tr w:rsidR="002901FF" w:rsidRPr="00D217D5" w14:paraId="3945E9D0" w14:textId="77777777" w:rsidTr="6A3D7302">
        <w:tc>
          <w:tcPr>
            <w:tcW w:w="2776" w:type="dxa"/>
          </w:tcPr>
          <w:p w14:paraId="2F334417" w14:textId="333F7086" w:rsidR="002901FF" w:rsidRDefault="002901FF" w:rsidP="00D217D5">
            <w:r>
              <w:t xml:space="preserve">19.14 Tendering of </w:t>
            </w:r>
            <w:r>
              <w:lastRenderedPageBreak/>
              <w:t>contracts</w:t>
            </w:r>
          </w:p>
        </w:tc>
        <w:tc>
          <w:tcPr>
            <w:tcW w:w="4122" w:type="dxa"/>
          </w:tcPr>
          <w:p w14:paraId="026A82BB" w14:textId="467BAF9B" w:rsidR="002901FF" w:rsidRPr="002901FF" w:rsidRDefault="002901FF" w:rsidP="002901FF">
            <w:pPr>
              <w:rPr>
                <w:rFonts w:eastAsia="Arial"/>
                <w:kern w:val="0"/>
                <w:lang w:eastAsia="en-GB" w:bidi="en-GB"/>
                <w14:ligatures w14:val="none"/>
              </w:rPr>
            </w:pPr>
            <w:r w:rsidRPr="002901FF">
              <w:rPr>
                <w:rFonts w:eastAsia="Arial"/>
                <w:kern w:val="0"/>
                <w:lang w:eastAsia="en-GB" w:bidi="en-GB"/>
                <w14:ligatures w14:val="none"/>
              </w:rPr>
              <w:lastRenderedPageBreak/>
              <w:t xml:space="preserve">Tenders will be sought in </w:t>
            </w:r>
            <w:r w:rsidRPr="002901FF">
              <w:rPr>
                <w:rFonts w:eastAsia="Arial"/>
                <w:kern w:val="0"/>
                <w:lang w:eastAsia="en-GB" w:bidi="en-GB"/>
                <w14:ligatures w14:val="none"/>
              </w:rPr>
              <w:lastRenderedPageBreak/>
              <w:t xml:space="preserve">accordance with the requirements of the procurement law in force from time to time and best practice. If the contract value means the contract is regulated by the Procurement Act 2023 </w:t>
            </w:r>
            <w:r>
              <w:rPr>
                <w:rFonts w:eastAsia="Arial"/>
                <w:kern w:val="0"/>
                <w:lang w:eastAsia="en-GB" w:bidi="en-GB"/>
                <w14:ligatures w14:val="none"/>
              </w:rPr>
              <w:t>(once in force) and/or the Public Contract Regulations 2015</w:t>
            </w:r>
            <w:r w:rsidRPr="002901FF">
              <w:rPr>
                <w:rFonts w:eastAsia="Arial"/>
                <w:kern w:val="0"/>
                <w:lang w:eastAsia="en-GB" w:bidi="en-GB"/>
                <w14:ligatures w14:val="none"/>
              </w:rPr>
              <w:t xml:space="preserve"> the Procurement Team will advise of the various options </w:t>
            </w:r>
            <w:proofErr w:type="gramStart"/>
            <w:r w:rsidRPr="002901FF">
              <w:rPr>
                <w:rFonts w:eastAsia="Arial"/>
                <w:kern w:val="0"/>
                <w:lang w:eastAsia="en-GB" w:bidi="en-GB"/>
                <w14:ligatures w14:val="none"/>
              </w:rPr>
              <w:t>available</w:t>
            </w:r>
            <w:proofErr w:type="gramEnd"/>
            <w:r w:rsidRPr="002901FF">
              <w:rPr>
                <w:rFonts w:eastAsia="Arial"/>
                <w:kern w:val="0"/>
                <w:lang w:eastAsia="en-GB" w:bidi="en-GB"/>
                <w14:ligatures w14:val="none"/>
              </w:rPr>
              <w:t xml:space="preserve"> and which would be the best course of action and will assist with the tender process. </w:t>
            </w:r>
          </w:p>
          <w:p w14:paraId="5CC7FF25" w14:textId="1538802E" w:rsidR="002901FF" w:rsidRPr="000602FD" w:rsidRDefault="002901FF" w:rsidP="002901FF">
            <w:pPr>
              <w:rPr>
                <w:rFonts w:eastAsia="Arial"/>
                <w:b/>
                <w:bCs/>
                <w:kern w:val="0"/>
                <w:lang w:eastAsia="en-GB" w:bidi="en-GB"/>
                <w14:ligatures w14:val="none"/>
              </w:rPr>
            </w:pPr>
            <w:r w:rsidRPr="002901FF">
              <w:rPr>
                <w:rFonts w:eastAsia="Arial"/>
                <w:kern w:val="0"/>
                <w:lang w:eastAsia="en-GB" w:bidi="en-GB"/>
                <w14:ligatures w14:val="none"/>
              </w:rPr>
              <w:t xml:space="preserve">Expressions of interest and tenders will be sought via advertisement on the Council’s Corporate Tendering Portal, the Government’s procurement portal (Central Digital Platform) </w:t>
            </w:r>
            <w:r>
              <w:rPr>
                <w:rFonts w:eastAsia="Arial"/>
                <w:kern w:val="0"/>
                <w:lang w:eastAsia="en-GB" w:bidi="en-GB"/>
                <w14:ligatures w14:val="none"/>
              </w:rPr>
              <w:t>and the</w:t>
            </w:r>
            <w:r w:rsidRPr="002901FF">
              <w:rPr>
                <w:rFonts w:eastAsia="Arial"/>
                <w:kern w:val="0"/>
                <w:lang w:eastAsia="en-GB" w:bidi="en-GB"/>
                <w14:ligatures w14:val="none"/>
              </w:rPr>
              <w:t xml:space="preserve"> Find a Tender Service (FTS).</w:t>
            </w:r>
          </w:p>
        </w:tc>
        <w:tc>
          <w:tcPr>
            <w:tcW w:w="4020" w:type="dxa"/>
          </w:tcPr>
          <w:p w14:paraId="614ACAA2" w14:textId="1309D6F3" w:rsidR="002901FF" w:rsidRPr="002901FF" w:rsidRDefault="002901FF" w:rsidP="002901FF">
            <w:pPr>
              <w:rPr>
                <w:rFonts w:eastAsia="Arial"/>
                <w:kern w:val="0"/>
                <w:lang w:eastAsia="en-GB" w:bidi="en-GB"/>
                <w14:ligatures w14:val="none"/>
              </w:rPr>
            </w:pPr>
            <w:r w:rsidRPr="002901FF">
              <w:rPr>
                <w:rFonts w:eastAsia="Arial"/>
                <w:kern w:val="0"/>
                <w:lang w:eastAsia="en-GB" w:bidi="en-GB"/>
                <w14:ligatures w14:val="none"/>
              </w:rPr>
              <w:lastRenderedPageBreak/>
              <w:t xml:space="preserve">Tenders will be sought in </w:t>
            </w:r>
            <w:r w:rsidRPr="002901FF">
              <w:rPr>
                <w:rFonts w:eastAsia="Arial"/>
                <w:kern w:val="0"/>
                <w:lang w:eastAsia="en-GB" w:bidi="en-GB"/>
                <w14:ligatures w14:val="none"/>
              </w:rPr>
              <w:lastRenderedPageBreak/>
              <w:t xml:space="preserve">accordance with the requirements of the procurement law in force from time to time and best practice. If the contract value means the contract is regulated by the Procurement Act </w:t>
            </w:r>
            <w:proofErr w:type="gramStart"/>
            <w:r w:rsidRPr="002901FF">
              <w:rPr>
                <w:rFonts w:eastAsia="Arial"/>
                <w:kern w:val="0"/>
                <w:lang w:eastAsia="en-GB" w:bidi="en-GB"/>
                <w14:ligatures w14:val="none"/>
              </w:rPr>
              <w:t xml:space="preserve">2023  </w:t>
            </w:r>
            <w:r w:rsidR="60067E02" w:rsidRPr="002901FF">
              <w:rPr>
                <w:rFonts w:eastAsia="Arial"/>
                <w:kern w:val="0"/>
                <w:lang w:eastAsia="en-GB" w:bidi="en-GB"/>
                <w14:ligatures w14:val="none"/>
              </w:rPr>
              <w:t>t</w:t>
            </w:r>
            <w:r w:rsidRPr="002901FF">
              <w:rPr>
                <w:rFonts w:eastAsia="Arial"/>
                <w:kern w:val="0"/>
                <w:lang w:eastAsia="en-GB" w:bidi="en-GB"/>
                <w14:ligatures w14:val="none"/>
              </w:rPr>
              <w:t>he</w:t>
            </w:r>
            <w:proofErr w:type="gramEnd"/>
            <w:r w:rsidRPr="002901FF">
              <w:rPr>
                <w:rFonts w:eastAsia="Arial"/>
                <w:kern w:val="0"/>
                <w:lang w:eastAsia="en-GB" w:bidi="en-GB"/>
                <w14:ligatures w14:val="none"/>
              </w:rPr>
              <w:t xml:space="preserve"> Procurement Team will advise of the various options available and which would be the best course of action and will assist with the tender process. </w:t>
            </w:r>
          </w:p>
          <w:p w14:paraId="7F9411A5" w14:textId="0D4C9401" w:rsidR="002901FF" w:rsidRPr="000602FD" w:rsidRDefault="002901FF" w:rsidP="002901FF">
            <w:pPr>
              <w:rPr>
                <w:rFonts w:eastAsia="Arial"/>
                <w:b/>
                <w:bCs/>
                <w:kern w:val="0"/>
                <w:lang w:eastAsia="en-GB" w:bidi="en-GB"/>
                <w14:ligatures w14:val="none"/>
              </w:rPr>
            </w:pPr>
            <w:r w:rsidRPr="002901FF">
              <w:rPr>
                <w:rFonts w:eastAsia="Arial"/>
                <w:kern w:val="0"/>
                <w:lang w:eastAsia="en-GB" w:bidi="en-GB"/>
                <w14:ligatures w14:val="none"/>
              </w:rPr>
              <w:t>Expressions of interest and tenders will be sought via advertisement on the Council’s Corporate Tendering Portal, the Government’s procurement portal (Central Digital Platform) also known as Find a Tender Service (FTS).</w:t>
            </w:r>
          </w:p>
        </w:tc>
        <w:tc>
          <w:tcPr>
            <w:tcW w:w="3256" w:type="dxa"/>
          </w:tcPr>
          <w:p w14:paraId="4697B716" w14:textId="34163A68" w:rsidR="002901FF" w:rsidRPr="00D217D5" w:rsidRDefault="081D0D91" w:rsidP="00D217D5">
            <w:r>
              <w:lastRenderedPageBreak/>
              <w:t>R</w:t>
            </w:r>
            <w:r w:rsidR="06A70B6A">
              <w:t>e</w:t>
            </w:r>
            <w:r>
              <w:t xml:space="preserve">moved (once in force) - </w:t>
            </w:r>
            <w:r>
              <w:lastRenderedPageBreak/>
              <w:t>the Procurement Act is in force now.</w:t>
            </w:r>
          </w:p>
          <w:p w14:paraId="14E48236" w14:textId="7C582B10" w:rsidR="002901FF" w:rsidRPr="00D217D5" w:rsidRDefault="002901FF" w:rsidP="00D217D5"/>
          <w:p w14:paraId="69645CA2" w14:textId="14C1F5B8" w:rsidR="002901FF" w:rsidRPr="00D217D5" w:rsidRDefault="002901FF" w:rsidP="00D217D5"/>
          <w:p w14:paraId="71F2C2B4" w14:textId="208FE053" w:rsidR="002901FF" w:rsidRPr="00D217D5" w:rsidRDefault="002901FF" w:rsidP="00D217D5"/>
          <w:p w14:paraId="2265C52A" w14:textId="1B490C69" w:rsidR="002901FF" w:rsidRPr="00D217D5" w:rsidRDefault="002901FF" w:rsidP="00D217D5"/>
          <w:p w14:paraId="18BF948D" w14:textId="5659FE70" w:rsidR="002901FF" w:rsidRPr="00D217D5" w:rsidRDefault="002901FF" w:rsidP="00D217D5"/>
          <w:p w14:paraId="1B834DB3" w14:textId="4A15AB02" w:rsidR="002901FF" w:rsidRPr="00D217D5" w:rsidRDefault="002901FF" w:rsidP="00D217D5"/>
          <w:p w14:paraId="5B2290B0" w14:textId="6E6099FE" w:rsidR="002901FF" w:rsidRPr="00D217D5" w:rsidRDefault="002901FF" w:rsidP="00D217D5"/>
          <w:p w14:paraId="102DFA9B" w14:textId="30025C4B" w:rsidR="002901FF" w:rsidRPr="00D217D5" w:rsidRDefault="002901FF" w:rsidP="00D217D5"/>
          <w:p w14:paraId="3D5B1874" w14:textId="1F4A56A3" w:rsidR="002901FF" w:rsidRPr="00D217D5" w:rsidRDefault="002901FF" w:rsidP="00D217D5"/>
          <w:p w14:paraId="6BBC9B20" w14:textId="58E5F03D" w:rsidR="002901FF" w:rsidRPr="00D217D5" w:rsidRDefault="002901FF" w:rsidP="00D217D5"/>
          <w:p w14:paraId="32191384" w14:textId="1FFD9481" w:rsidR="002901FF" w:rsidRPr="00D217D5" w:rsidRDefault="002901FF" w:rsidP="00D217D5"/>
          <w:p w14:paraId="6D302A58" w14:textId="005304BD" w:rsidR="002901FF" w:rsidRPr="00D217D5" w:rsidRDefault="002901FF" w:rsidP="00D217D5"/>
          <w:p w14:paraId="6E75D3A9" w14:textId="0BC3E8A9" w:rsidR="002901FF" w:rsidRPr="00D217D5" w:rsidRDefault="44CB3F9D" w:rsidP="00D217D5">
            <w:r>
              <w:t>Giving Clarity to FTS</w:t>
            </w:r>
          </w:p>
        </w:tc>
      </w:tr>
      <w:tr w:rsidR="00886A08" w:rsidRPr="00D217D5" w14:paraId="28045D15" w14:textId="77777777" w:rsidTr="6A3D7302">
        <w:tc>
          <w:tcPr>
            <w:tcW w:w="2776" w:type="dxa"/>
          </w:tcPr>
          <w:p w14:paraId="346FE3EE" w14:textId="6BDED744" w:rsidR="00886A08" w:rsidRDefault="00886A08" w:rsidP="00D217D5">
            <w:r>
              <w:lastRenderedPageBreak/>
              <w:t>19.15 Corporate Tendering Portal</w:t>
            </w:r>
          </w:p>
        </w:tc>
        <w:tc>
          <w:tcPr>
            <w:tcW w:w="4122" w:type="dxa"/>
          </w:tcPr>
          <w:p w14:paraId="5EF53E1E" w14:textId="2847D0CB" w:rsidR="00886A08" w:rsidRPr="00886A08" w:rsidRDefault="00886A08" w:rsidP="00886A08">
            <w:pPr>
              <w:numPr>
                <w:ilvl w:val="2"/>
                <w:numId w:val="43"/>
              </w:numPr>
              <w:rPr>
                <w:rFonts w:eastAsia="Arial"/>
                <w:kern w:val="0"/>
                <w:lang w:eastAsia="en-GB" w:bidi="en-GB"/>
                <w14:ligatures w14:val="none"/>
              </w:rPr>
            </w:pPr>
            <w:r w:rsidRPr="00886A08">
              <w:rPr>
                <w:rFonts w:eastAsia="Arial"/>
                <w:kern w:val="0"/>
                <w:lang w:eastAsia="en-GB" w:bidi="en-GB"/>
                <w14:ligatures w14:val="none"/>
              </w:rPr>
              <w:t>Tenders £30,000 or over must be submitted via the Corporate Tendering Portal or the electronic system that was used to invite tenders as well as on the Government’s procurement portal.</w:t>
            </w:r>
          </w:p>
          <w:p w14:paraId="015CECD4" w14:textId="37657732" w:rsidR="00886A08" w:rsidRPr="00886A08" w:rsidRDefault="00886A08" w:rsidP="00886A08">
            <w:pPr>
              <w:numPr>
                <w:ilvl w:val="2"/>
                <w:numId w:val="43"/>
              </w:numPr>
              <w:rPr>
                <w:rFonts w:eastAsia="Arial"/>
                <w:kern w:val="0"/>
                <w:lang w:eastAsia="en-GB" w:bidi="en-GB"/>
                <w14:ligatures w14:val="none"/>
              </w:rPr>
            </w:pPr>
            <w:r w:rsidRPr="00886A08">
              <w:rPr>
                <w:rFonts w:eastAsia="Arial"/>
                <w:kern w:val="0"/>
                <w:lang w:eastAsia="en-GB" w:bidi="en-GB"/>
                <w14:ligatures w14:val="none"/>
              </w:rPr>
              <w:t xml:space="preserve">Each tender received via the Corporate Tendering Portal is automatically date and time stamped. The tender cannot be </w:t>
            </w:r>
            <w:r w:rsidRPr="00886A08">
              <w:rPr>
                <w:rFonts w:eastAsia="Arial"/>
                <w:kern w:val="0"/>
                <w:lang w:eastAsia="en-GB" w:bidi="en-GB"/>
                <w14:ligatures w14:val="none"/>
              </w:rPr>
              <w:lastRenderedPageBreak/>
              <w:t>accessed until after the tender deadline.</w:t>
            </w:r>
          </w:p>
          <w:p w14:paraId="4387EFD6" w14:textId="77777777" w:rsidR="00886A08" w:rsidRPr="00886A08" w:rsidRDefault="00886A08" w:rsidP="000602FD">
            <w:pPr>
              <w:rPr>
                <w:rFonts w:eastAsia="Arial"/>
                <w:kern w:val="0"/>
                <w:lang w:eastAsia="en-GB" w:bidi="en-GB"/>
                <w14:ligatures w14:val="none"/>
              </w:rPr>
            </w:pPr>
          </w:p>
        </w:tc>
        <w:tc>
          <w:tcPr>
            <w:tcW w:w="4020" w:type="dxa"/>
          </w:tcPr>
          <w:p w14:paraId="4A9A8F2E" w14:textId="77777777" w:rsidR="00886A08" w:rsidRPr="00886A08" w:rsidRDefault="00886A08" w:rsidP="00886A08">
            <w:pPr>
              <w:numPr>
                <w:ilvl w:val="2"/>
                <w:numId w:val="43"/>
              </w:numPr>
              <w:rPr>
                <w:rFonts w:eastAsia="Arial"/>
                <w:kern w:val="0"/>
                <w:lang w:eastAsia="en-GB" w:bidi="en-GB"/>
                <w14:ligatures w14:val="none"/>
              </w:rPr>
            </w:pPr>
            <w:r w:rsidRPr="00886A08">
              <w:rPr>
                <w:rFonts w:eastAsia="Arial"/>
                <w:kern w:val="0"/>
                <w:lang w:eastAsia="en-GB" w:bidi="en-GB"/>
                <w14:ligatures w14:val="none"/>
              </w:rPr>
              <w:lastRenderedPageBreak/>
              <w:t>Tenders £30,000 including VAT or over must be submitted via the Corporate Tendering Portal or the electronic system that was used to invite tenders as well as on the Government’s procurement portal.</w:t>
            </w:r>
          </w:p>
          <w:p w14:paraId="2673C5A2" w14:textId="77777777" w:rsidR="00886A08" w:rsidRPr="00886A08" w:rsidRDefault="00886A08" w:rsidP="00886A08">
            <w:pPr>
              <w:numPr>
                <w:ilvl w:val="2"/>
                <w:numId w:val="43"/>
              </w:numPr>
              <w:rPr>
                <w:rFonts w:eastAsia="Arial"/>
                <w:kern w:val="0"/>
                <w:lang w:eastAsia="en-GB" w:bidi="en-GB"/>
                <w14:ligatures w14:val="none"/>
              </w:rPr>
            </w:pPr>
            <w:r w:rsidRPr="00886A08">
              <w:rPr>
                <w:rFonts w:eastAsia="Arial"/>
                <w:kern w:val="0"/>
                <w:lang w:eastAsia="en-GB" w:bidi="en-GB"/>
                <w14:ligatures w14:val="none"/>
              </w:rPr>
              <w:t xml:space="preserve">Each tender received via the Corporate Tendering Portal is automatically date and </w:t>
            </w:r>
            <w:r w:rsidRPr="00886A08">
              <w:rPr>
                <w:rFonts w:eastAsia="Arial"/>
                <w:kern w:val="0"/>
                <w:lang w:eastAsia="en-GB" w:bidi="en-GB"/>
                <w14:ligatures w14:val="none"/>
              </w:rPr>
              <w:lastRenderedPageBreak/>
              <w:t>time stamped. The tender cannot be accessed until after the tender submission deadline.</w:t>
            </w:r>
          </w:p>
          <w:p w14:paraId="5108BE6E" w14:textId="77777777" w:rsidR="00886A08" w:rsidRPr="00886A08" w:rsidRDefault="00886A08" w:rsidP="00A82E73">
            <w:pPr>
              <w:rPr>
                <w:rFonts w:eastAsia="Arial"/>
                <w:kern w:val="0"/>
                <w:lang w:eastAsia="en-GB" w:bidi="en-GB"/>
                <w14:ligatures w14:val="none"/>
              </w:rPr>
            </w:pPr>
          </w:p>
        </w:tc>
        <w:tc>
          <w:tcPr>
            <w:tcW w:w="3256" w:type="dxa"/>
          </w:tcPr>
          <w:p w14:paraId="577E6C0F" w14:textId="252DC93D" w:rsidR="00886A08" w:rsidRPr="00D217D5" w:rsidRDefault="0AAA8743" w:rsidP="00D217D5">
            <w:r>
              <w:lastRenderedPageBreak/>
              <w:t>Added the wording “including VAT”</w:t>
            </w:r>
          </w:p>
        </w:tc>
      </w:tr>
      <w:tr w:rsidR="004E33E5" w:rsidRPr="00D217D5" w14:paraId="07A7BB56" w14:textId="77777777" w:rsidTr="6A3D7302">
        <w:tc>
          <w:tcPr>
            <w:tcW w:w="2776" w:type="dxa"/>
          </w:tcPr>
          <w:p w14:paraId="5E64B1FF" w14:textId="08101836" w:rsidR="004E33E5" w:rsidRDefault="004E33E5" w:rsidP="00D217D5">
            <w:r>
              <w:t>19.19 Copies of contracts and register of contracts</w:t>
            </w:r>
          </w:p>
        </w:tc>
        <w:tc>
          <w:tcPr>
            <w:tcW w:w="4122" w:type="dxa"/>
          </w:tcPr>
          <w:p w14:paraId="16BEB5FA" w14:textId="77777777" w:rsidR="004E33E5" w:rsidRPr="004E33E5" w:rsidRDefault="004E33E5" w:rsidP="004E33E5">
            <w:pPr>
              <w:widowControl w:val="0"/>
              <w:numPr>
                <w:ilvl w:val="2"/>
                <w:numId w:val="42"/>
              </w:numPr>
              <w:tabs>
                <w:tab w:val="left" w:pos="1238"/>
              </w:tabs>
              <w:autoSpaceDE w:val="0"/>
              <w:autoSpaceDN w:val="0"/>
              <w:spacing w:before="1" w:line="259" w:lineRule="auto"/>
              <w:ind w:left="1237" w:hanging="426"/>
              <w:rPr>
                <w:rFonts w:eastAsia="Arial"/>
                <w:kern w:val="0"/>
                <w:lang w:eastAsia="en-GB" w:bidi="en-GB"/>
                <w14:ligatures w14:val="none"/>
              </w:rPr>
            </w:pPr>
            <w:r w:rsidRPr="004E33E5">
              <w:rPr>
                <w:rFonts w:eastAsia="Arial"/>
                <w:kern w:val="0"/>
                <w:lang w:eastAsia="en-GB" w:bidi="en-GB"/>
                <w14:ligatures w14:val="none"/>
              </w:rPr>
              <w:t xml:space="preserve">Storage of Contracts </w:t>
            </w:r>
          </w:p>
          <w:p w14:paraId="2D57F62A" w14:textId="76E0BAD1" w:rsidR="004E33E5" w:rsidRPr="004E33E5" w:rsidRDefault="004E33E5" w:rsidP="004E33E5">
            <w:pPr>
              <w:widowControl w:val="0"/>
              <w:autoSpaceDE w:val="0"/>
              <w:autoSpaceDN w:val="0"/>
              <w:spacing w:before="120" w:line="259" w:lineRule="auto"/>
              <w:ind w:left="1234" w:right="245"/>
              <w:rPr>
                <w:rFonts w:eastAsia="Arial"/>
                <w:kern w:val="0"/>
                <w:lang w:eastAsia="en-GB" w:bidi="en-GB"/>
                <w14:ligatures w14:val="none"/>
              </w:rPr>
            </w:pPr>
            <w:r w:rsidRPr="004E33E5">
              <w:rPr>
                <w:rFonts w:eastAsia="Arial"/>
                <w:kern w:val="0"/>
                <w:lang w:eastAsia="en-GB" w:bidi="en-GB"/>
                <w14:ligatures w14:val="none"/>
              </w:rPr>
              <w:t>Contracts with a value of £</w:t>
            </w:r>
            <w:r>
              <w:rPr>
                <w:rFonts w:eastAsia="Arial"/>
                <w:kern w:val="0"/>
                <w:lang w:eastAsia="en-GB" w:bidi="en-GB"/>
                <w14:ligatures w14:val="none"/>
              </w:rPr>
              <w:t>30</w:t>
            </w:r>
            <w:r w:rsidRPr="004E33E5">
              <w:rPr>
                <w:rFonts w:eastAsia="Arial"/>
                <w:kern w:val="0"/>
                <w:lang w:eastAsia="en-GB" w:bidi="en-GB"/>
                <w14:ligatures w14:val="none"/>
              </w:rPr>
              <w:t xml:space="preserve">,000 or more (and any variations to such contracts) shall be sent to the Group Finance Director by the relevant procuring officers to be kept securely:  </w:t>
            </w:r>
          </w:p>
          <w:p w14:paraId="228B6188" w14:textId="77777777" w:rsidR="004E33E5" w:rsidRPr="004E33E5" w:rsidRDefault="004E33E5" w:rsidP="004E33E5">
            <w:pPr>
              <w:widowControl w:val="0"/>
              <w:numPr>
                <w:ilvl w:val="3"/>
                <w:numId w:val="41"/>
              </w:numPr>
              <w:tabs>
                <w:tab w:val="left" w:pos="1661"/>
                <w:tab w:val="left" w:pos="1662"/>
              </w:tabs>
              <w:autoSpaceDE w:val="0"/>
              <w:autoSpaceDN w:val="0"/>
              <w:spacing w:before="121"/>
              <w:rPr>
                <w:rFonts w:eastAsia="Arial"/>
                <w:kern w:val="0"/>
                <w:lang w:eastAsia="en-GB" w:bidi="en-GB"/>
                <w14:ligatures w14:val="none"/>
              </w:rPr>
            </w:pPr>
            <w:r w:rsidRPr="004E33E5">
              <w:rPr>
                <w:rFonts w:eastAsia="Arial"/>
                <w:kern w:val="0"/>
                <w:lang w:eastAsia="en-GB" w:bidi="en-GB"/>
                <w14:ligatures w14:val="none"/>
              </w:rPr>
              <w:t>for a least seven years from its end date if it was</w:t>
            </w:r>
            <w:r w:rsidRPr="004E33E5">
              <w:rPr>
                <w:rFonts w:eastAsia="Arial"/>
                <w:spacing w:val="-7"/>
                <w:kern w:val="0"/>
                <w:lang w:eastAsia="en-GB" w:bidi="en-GB"/>
                <w14:ligatures w14:val="none"/>
              </w:rPr>
              <w:t xml:space="preserve"> </w:t>
            </w:r>
            <w:proofErr w:type="gramStart"/>
            <w:r w:rsidRPr="004E33E5">
              <w:rPr>
                <w:rFonts w:eastAsia="Arial"/>
                <w:kern w:val="0"/>
                <w:lang w:eastAsia="en-GB" w:bidi="en-GB"/>
                <w14:ligatures w14:val="none"/>
              </w:rPr>
              <w:t>signed;</w:t>
            </w:r>
            <w:proofErr w:type="gramEnd"/>
          </w:p>
          <w:p w14:paraId="582961B1" w14:textId="77777777" w:rsidR="004E33E5" w:rsidRPr="004E33E5" w:rsidRDefault="004E33E5" w:rsidP="004E33E5">
            <w:pPr>
              <w:widowControl w:val="0"/>
              <w:numPr>
                <w:ilvl w:val="3"/>
                <w:numId w:val="41"/>
              </w:numPr>
              <w:tabs>
                <w:tab w:val="left" w:pos="1661"/>
                <w:tab w:val="left" w:pos="1662"/>
              </w:tabs>
              <w:autoSpaceDE w:val="0"/>
              <w:autoSpaceDN w:val="0"/>
              <w:spacing w:before="118"/>
              <w:rPr>
                <w:rFonts w:eastAsia="Arial"/>
                <w:kern w:val="0"/>
                <w:lang w:eastAsia="en-GB" w:bidi="en-GB"/>
                <w14:ligatures w14:val="none"/>
              </w:rPr>
            </w:pPr>
            <w:r w:rsidRPr="004E33E5">
              <w:rPr>
                <w:rFonts w:eastAsia="Arial"/>
                <w:kern w:val="0"/>
                <w:lang w:eastAsia="en-GB" w:bidi="en-GB"/>
                <w14:ligatures w14:val="none"/>
              </w:rPr>
              <w:t>for a least 13 years from its end date if it was</w:t>
            </w:r>
            <w:r w:rsidRPr="004E33E5">
              <w:rPr>
                <w:rFonts w:eastAsia="Arial"/>
                <w:spacing w:val="-7"/>
                <w:kern w:val="0"/>
                <w:lang w:eastAsia="en-GB" w:bidi="en-GB"/>
                <w14:ligatures w14:val="none"/>
              </w:rPr>
              <w:t xml:space="preserve"> </w:t>
            </w:r>
            <w:r w:rsidRPr="004E33E5">
              <w:rPr>
                <w:rFonts w:eastAsia="Arial"/>
                <w:kern w:val="0"/>
                <w:lang w:eastAsia="en-GB" w:bidi="en-GB"/>
                <w14:ligatures w14:val="none"/>
              </w:rPr>
              <w:t>sealed,</w:t>
            </w:r>
          </w:p>
          <w:p w14:paraId="4695A17C" w14:textId="04262280" w:rsidR="004E33E5" w:rsidRPr="004E33E5" w:rsidRDefault="004E33E5" w:rsidP="004E33E5">
            <w:pPr>
              <w:widowControl w:val="0"/>
              <w:autoSpaceDE w:val="0"/>
              <w:autoSpaceDN w:val="0"/>
              <w:spacing w:before="120"/>
              <w:ind w:left="1234"/>
              <w:rPr>
                <w:rFonts w:eastAsia="Arial"/>
                <w:kern w:val="0"/>
                <w:lang w:eastAsia="en-GB" w:bidi="en-GB"/>
                <w14:ligatures w14:val="none"/>
              </w:rPr>
            </w:pPr>
            <w:r w:rsidRPr="004E33E5">
              <w:rPr>
                <w:rFonts w:eastAsia="Arial"/>
                <w:kern w:val="0"/>
                <w:lang w:eastAsia="en-GB" w:bidi="en-GB"/>
                <w14:ligatures w14:val="none"/>
              </w:rPr>
              <w:t>All contracts under £</w:t>
            </w:r>
            <w:r>
              <w:rPr>
                <w:rFonts w:eastAsia="Arial"/>
                <w:kern w:val="0"/>
                <w:lang w:eastAsia="en-GB" w:bidi="en-GB"/>
                <w14:ligatures w14:val="none"/>
              </w:rPr>
              <w:t>30</w:t>
            </w:r>
            <w:r w:rsidRPr="004E33E5">
              <w:rPr>
                <w:rFonts w:eastAsia="Arial"/>
                <w:kern w:val="0"/>
                <w:lang w:eastAsia="en-GB" w:bidi="en-GB"/>
                <w14:ligatures w14:val="none"/>
              </w:rPr>
              <w:t xml:space="preserve">,000 will be retained by the relevant service area in line with the retention policies of the Council. The Contract Manager/Service area </w:t>
            </w:r>
            <w:r w:rsidRPr="004E33E5">
              <w:rPr>
                <w:rFonts w:eastAsia="Arial"/>
                <w:kern w:val="0"/>
                <w:lang w:eastAsia="en-GB" w:bidi="en-GB"/>
                <w14:ligatures w14:val="none"/>
              </w:rPr>
              <w:lastRenderedPageBreak/>
              <w:t xml:space="preserve">must keep hard copies of their contracts and any variation of such contracts for the above detailed </w:t>
            </w:r>
            <w:proofErr w:type="gramStart"/>
            <w:r w:rsidRPr="004E33E5">
              <w:rPr>
                <w:rFonts w:eastAsia="Arial"/>
                <w:kern w:val="0"/>
                <w:lang w:eastAsia="en-GB" w:bidi="en-GB"/>
                <w14:ligatures w14:val="none"/>
              </w:rPr>
              <w:t>period of time</w:t>
            </w:r>
            <w:proofErr w:type="gramEnd"/>
            <w:r w:rsidRPr="004E33E5">
              <w:rPr>
                <w:rFonts w:eastAsia="Arial"/>
                <w:kern w:val="0"/>
                <w:lang w:eastAsia="en-GB" w:bidi="en-GB"/>
                <w14:ligatures w14:val="none"/>
              </w:rPr>
              <w:t>.</w:t>
            </w:r>
          </w:p>
          <w:p w14:paraId="7560F83F" w14:textId="77777777" w:rsidR="004E33E5" w:rsidRPr="004E33E5" w:rsidRDefault="004E33E5" w:rsidP="004E33E5">
            <w:pPr>
              <w:widowControl w:val="0"/>
              <w:numPr>
                <w:ilvl w:val="2"/>
                <w:numId w:val="42"/>
              </w:numPr>
              <w:tabs>
                <w:tab w:val="left" w:pos="1238"/>
              </w:tabs>
              <w:autoSpaceDE w:val="0"/>
              <w:autoSpaceDN w:val="0"/>
              <w:spacing w:before="219"/>
              <w:ind w:left="1237" w:hanging="428"/>
              <w:rPr>
                <w:rFonts w:eastAsia="Arial"/>
                <w:kern w:val="0"/>
                <w:lang w:eastAsia="en-GB" w:bidi="en-GB"/>
                <w14:ligatures w14:val="none"/>
              </w:rPr>
            </w:pPr>
            <w:r w:rsidRPr="004E33E5">
              <w:rPr>
                <w:rFonts w:eastAsia="Arial"/>
                <w:kern w:val="0"/>
                <w:lang w:eastAsia="en-GB" w:bidi="en-GB"/>
                <w14:ligatures w14:val="none"/>
              </w:rPr>
              <w:t>Keeping a register of contracts</w:t>
            </w:r>
          </w:p>
          <w:p w14:paraId="580D5C20" w14:textId="54889A55" w:rsidR="004E33E5" w:rsidRPr="004E33E5" w:rsidRDefault="004E33E5" w:rsidP="004E33E5">
            <w:pPr>
              <w:widowControl w:val="0"/>
              <w:autoSpaceDE w:val="0"/>
              <w:autoSpaceDN w:val="0"/>
              <w:spacing w:before="120"/>
              <w:ind w:left="1234"/>
              <w:rPr>
                <w:rFonts w:eastAsia="Arial"/>
                <w:kern w:val="0"/>
                <w:lang w:eastAsia="en-GB" w:bidi="en-GB"/>
                <w14:ligatures w14:val="none"/>
              </w:rPr>
            </w:pPr>
            <w:r w:rsidRPr="004E33E5">
              <w:rPr>
                <w:rFonts w:eastAsia="Arial"/>
                <w:kern w:val="0"/>
                <w:lang w:eastAsia="en-GB" w:bidi="en-GB"/>
                <w14:ligatures w14:val="none"/>
              </w:rPr>
              <w:t xml:space="preserve">The Group Finance Director will keep and publish on the Council’s website a central register of contracts of £30,000 or over, recording and publishing details as required under the Transparency Code for Local Government </w:t>
            </w:r>
            <w:r>
              <w:rPr>
                <w:rFonts w:eastAsia="Arial"/>
                <w:kern w:val="0"/>
                <w:lang w:eastAsia="en-GB" w:bidi="en-GB"/>
                <w14:ligatures w14:val="none"/>
              </w:rPr>
              <w:t>and will be published on the Council’s website</w:t>
            </w:r>
            <w:r w:rsidRPr="004E33E5">
              <w:rPr>
                <w:rFonts w:eastAsia="Arial"/>
                <w:kern w:val="0"/>
                <w:lang w:eastAsia="en-GB" w:bidi="en-GB"/>
                <w14:ligatures w14:val="none"/>
              </w:rPr>
              <w:t xml:space="preserve">. </w:t>
            </w:r>
          </w:p>
        </w:tc>
        <w:tc>
          <w:tcPr>
            <w:tcW w:w="4020" w:type="dxa"/>
          </w:tcPr>
          <w:p w14:paraId="6C7D8018" w14:textId="77777777" w:rsidR="004E33E5" w:rsidRPr="00B24CA7" w:rsidRDefault="004E33E5" w:rsidP="004E33E5">
            <w:pPr>
              <w:pStyle w:val="ListParagraph"/>
              <w:widowControl w:val="0"/>
              <w:numPr>
                <w:ilvl w:val="2"/>
                <w:numId w:val="42"/>
              </w:numPr>
              <w:tabs>
                <w:tab w:val="left" w:pos="1238"/>
              </w:tabs>
              <w:autoSpaceDE w:val="0"/>
              <w:autoSpaceDN w:val="0"/>
              <w:spacing w:before="1" w:line="259" w:lineRule="auto"/>
              <w:ind w:left="1237" w:hanging="426"/>
              <w:contextualSpacing w:val="0"/>
            </w:pPr>
            <w:r w:rsidRPr="089C44C7">
              <w:lastRenderedPageBreak/>
              <w:t xml:space="preserve">Storage of Contracts </w:t>
            </w:r>
          </w:p>
          <w:p w14:paraId="25A80691" w14:textId="77777777" w:rsidR="004E33E5" w:rsidRPr="00B24CA7" w:rsidRDefault="004E33E5" w:rsidP="004E33E5">
            <w:pPr>
              <w:pStyle w:val="BodyText"/>
              <w:spacing w:before="120" w:line="259" w:lineRule="auto"/>
              <w:ind w:left="1234" w:right="245"/>
            </w:pPr>
            <w:r>
              <w:t xml:space="preserve">Contracts with a value of £214,000 or more (and any variations to such contracts) shall be sent to the Group Finance Director by the relevant procuring officers to be kept securely:  </w:t>
            </w:r>
          </w:p>
          <w:p w14:paraId="3A10A73E" w14:textId="77777777" w:rsidR="004E33E5" w:rsidRPr="00B24CA7" w:rsidRDefault="004E33E5" w:rsidP="004E33E5">
            <w:pPr>
              <w:pStyle w:val="ListParagraph"/>
              <w:widowControl w:val="0"/>
              <w:numPr>
                <w:ilvl w:val="3"/>
                <w:numId w:val="41"/>
              </w:numPr>
              <w:tabs>
                <w:tab w:val="left" w:pos="1661"/>
                <w:tab w:val="left" w:pos="1662"/>
              </w:tabs>
              <w:autoSpaceDE w:val="0"/>
              <w:autoSpaceDN w:val="0"/>
              <w:spacing w:before="121"/>
              <w:contextualSpacing w:val="0"/>
            </w:pPr>
            <w:r w:rsidRPr="00B24CA7">
              <w:t>for a least seven years from its end date if it was</w:t>
            </w:r>
            <w:r w:rsidRPr="00B24CA7">
              <w:rPr>
                <w:spacing w:val="-7"/>
              </w:rPr>
              <w:t xml:space="preserve"> </w:t>
            </w:r>
            <w:proofErr w:type="gramStart"/>
            <w:r w:rsidRPr="00B24CA7">
              <w:t>signed;</w:t>
            </w:r>
            <w:proofErr w:type="gramEnd"/>
          </w:p>
          <w:p w14:paraId="2BECC2B3" w14:textId="77777777" w:rsidR="004E33E5" w:rsidRPr="00B24CA7" w:rsidRDefault="004E33E5" w:rsidP="004E33E5">
            <w:pPr>
              <w:pStyle w:val="ListParagraph"/>
              <w:widowControl w:val="0"/>
              <w:numPr>
                <w:ilvl w:val="3"/>
                <w:numId w:val="41"/>
              </w:numPr>
              <w:tabs>
                <w:tab w:val="left" w:pos="1661"/>
                <w:tab w:val="left" w:pos="1662"/>
              </w:tabs>
              <w:autoSpaceDE w:val="0"/>
              <w:autoSpaceDN w:val="0"/>
              <w:spacing w:before="118"/>
              <w:contextualSpacing w:val="0"/>
            </w:pPr>
            <w:r w:rsidRPr="00B24CA7">
              <w:t>for a least 13 years from its end date if it was</w:t>
            </w:r>
            <w:r w:rsidRPr="00B24CA7">
              <w:rPr>
                <w:spacing w:val="-7"/>
              </w:rPr>
              <w:t xml:space="preserve"> </w:t>
            </w:r>
            <w:r w:rsidRPr="00B24CA7">
              <w:t>sealed,</w:t>
            </w:r>
          </w:p>
          <w:p w14:paraId="34F62A50" w14:textId="77777777" w:rsidR="004E33E5" w:rsidRPr="00B24CA7" w:rsidRDefault="004E33E5" w:rsidP="004E33E5">
            <w:pPr>
              <w:pStyle w:val="BodyText"/>
              <w:spacing w:before="120"/>
              <w:ind w:left="1234"/>
            </w:pPr>
            <w:r>
              <w:t xml:space="preserve">All contracts under £214,000 will be retained by the relevant service area in line with the retention policies of the Council. The </w:t>
            </w:r>
            <w:r>
              <w:lastRenderedPageBreak/>
              <w:t xml:space="preserve">Contract Manager/Service area must keep hard copies of their contracts and any variation of such contracts for the above detailed </w:t>
            </w:r>
            <w:proofErr w:type="gramStart"/>
            <w:r>
              <w:t>period of time</w:t>
            </w:r>
            <w:proofErr w:type="gramEnd"/>
            <w:r>
              <w:t>.</w:t>
            </w:r>
          </w:p>
          <w:p w14:paraId="62C21E5F" w14:textId="77777777" w:rsidR="004E33E5" w:rsidRPr="00B24CA7" w:rsidRDefault="004E33E5" w:rsidP="004E33E5">
            <w:pPr>
              <w:pStyle w:val="ListParagraph"/>
              <w:widowControl w:val="0"/>
              <w:numPr>
                <w:ilvl w:val="2"/>
                <w:numId w:val="42"/>
              </w:numPr>
              <w:tabs>
                <w:tab w:val="left" w:pos="1238"/>
              </w:tabs>
              <w:autoSpaceDE w:val="0"/>
              <w:autoSpaceDN w:val="0"/>
              <w:spacing w:before="219"/>
              <w:ind w:left="1237" w:hanging="428"/>
              <w:contextualSpacing w:val="0"/>
            </w:pPr>
            <w:r w:rsidRPr="00B24CA7">
              <w:t>Keeping a register of contracts</w:t>
            </w:r>
          </w:p>
          <w:p w14:paraId="13942553" w14:textId="78DE88B0" w:rsidR="004E33E5" w:rsidRPr="004E33E5" w:rsidRDefault="004E33E5" w:rsidP="004E33E5">
            <w:pPr>
              <w:pStyle w:val="BodyText"/>
              <w:spacing w:before="120"/>
              <w:ind w:left="1234"/>
            </w:pPr>
            <w:r>
              <w:t>The Group Finance Director will keep and publish on the Council’s website a central register of contracts of £30,000 or over, recording and publishing details as required under the Transparency Code for Local Government.</w:t>
            </w:r>
          </w:p>
        </w:tc>
        <w:tc>
          <w:tcPr>
            <w:tcW w:w="3256" w:type="dxa"/>
          </w:tcPr>
          <w:p w14:paraId="356891A2" w14:textId="2244BEF9" w:rsidR="004E33E5" w:rsidRPr="00D217D5" w:rsidRDefault="364FF55A" w:rsidP="29C5379A">
            <w:pPr>
              <w:spacing w:line="259" w:lineRule="auto"/>
            </w:pPr>
            <w:r>
              <w:lastRenderedPageBreak/>
              <w:t>Increase in value</w:t>
            </w:r>
            <w:r w:rsidR="153FD682">
              <w:t xml:space="preserve"> for (a) only. </w:t>
            </w:r>
            <w:r>
              <w:t xml:space="preserve"> Procurement asks for a scanned version of</w:t>
            </w:r>
            <w:r w:rsidR="76301F2E">
              <w:t xml:space="preserve"> a</w:t>
            </w:r>
            <w:r>
              <w:t xml:space="preserve"> contract </w:t>
            </w:r>
            <w:r w:rsidR="3B4E1FB0">
              <w:t>with</w:t>
            </w:r>
            <w:r>
              <w:t xml:space="preserve"> the CA</w:t>
            </w:r>
            <w:r w:rsidR="5BE79389">
              <w:t xml:space="preserve">M </w:t>
            </w:r>
            <w:r w:rsidR="47367C05">
              <w:t>form when</w:t>
            </w:r>
            <w:r w:rsidR="6618C1EC">
              <w:t xml:space="preserve"> the value is above £30,000 </w:t>
            </w:r>
            <w:r>
              <w:t xml:space="preserve">and keep those </w:t>
            </w:r>
            <w:r w:rsidR="47528BFA">
              <w:t>electronically (</w:t>
            </w:r>
            <w:r w:rsidR="66F088D9">
              <w:t xml:space="preserve">unless back of order Terms </w:t>
            </w:r>
            <w:r w:rsidR="2515C462">
              <w:t>have</w:t>
            </w:r>
            <w:r w:rsidR="66F088D9">
              <w:t xml:space="preserve"> been used, then that is stored on</w:t>
            </w:r>
            <w:r w:rsidR="0CB3E037">
              <w:t xml:space="preserve"> the</w:t>
            </w:r>
            <w:r w:rsidR="66F088D9">
              <w:t xml:space="preserve"> Agresso</w:t>
            </w:r>
            <w:r w:rsidR="404046C9">
              <w:t xml:space="preserve"> system</w:t>
            </w:r>
            <w:r w:rsidR="574E3BE5">
              <w:t>).</w:t>
            </w:r>
            <w:r w:rsidR="66F088D9">
              <w:t xml:space="preserve">  Procurement </w:t>
            </w:r>
            <w:r w:rsidR="14026518">
              <w:t>do not have the capacity to store all</w:t>
            </w:r>
            <w:r w:rsidR="009B9EBA">
              <w:t xml:space="preserve"> hard copy</w:t>
            </w:r>
            <w:r w:rsidR="14026518">
              <w:t xml:space="preserve"> </w:t>
            </w:r>
            <w:r w:rsidR="22249899">
              <w:t>below threshold contracts</w:t>
            </w:r>
          </w:p>
        </w:tc>
      </w:tr>
    </w:tbl>
    <w:p w14:paraId="74C6FDC1" w14:textId="77777777" w:rsidR="00822EBC" w:rsidRDefault="00822EBC" w:rsidP="008A22C6"/>
    <w:p w14:paraId="0AA0B7FE" w14:textId="0B90C6BD" w:rsidR="0044158A" w:rsidRDefault="00254D39" w:rsidP="008A22C6">
      <w:r>
        <w:t>Changes to table at 19.13:</w:t>
      </w:r>
    </w:p>
    <w:p w14:paraId="406ED79F" w14:textId="77777777" w:rsidR="00254D39" w:rsidRDefault="00254D39" w:rsidP="008A22C6"/>
    <w:tbl>
      <w:tblPr>
        <w:tblStyle w:val="TableGrid"/>
        <w:tblpPr w:leftFromText="180" w:rightFromText="180" w:vertAnchor="text" w:horzAnchor="margin" w:tblpY="135"/>
        <w:tblW w:w="9067" w:type="dxa"/>
        <w:tblLook w:val="04A0" w:firstRow="1" w:lastRow="0" w:firstColumn="1" w:lastColumn="0" w:noHBand="0" w:noVBand="1"/>
      </w:tblPr>
      <w:tblGrid>
        <w:gridCol w:w="2419"/>
        <w:gridCol w:w="3388"/>
        <w:gridCol w:w="3260"/>
      </w:tblGrid>
      <w:tr w:rsidR="00254D39" w:rsidRPr="00B24CA7" w14:paraId="41FF3CDC" w14:textId="77777777" w:rsidTr="00EF1C5D">
        <w:tc>
          <w:tcPr>
            <w:tcW w:w="2419" w:type="dxa"/>
            <w:vAlign w:val="center"/>
          </w:tcPr>
          <w:p w14:paraId="60E4AC1F" w14:textId="77777777" w:rsidR="00254D39" w:rsidRPr="00B24CA7" w:rsidRDefault="00254D39" w:rsidP="00EF1C5D">
            <w:pPr>
              <w:pStyle w:val="BodyText"/>
              <w:spacing w:before="1"/>
              <w:rPr>
                <w:b/>
                <w:bCs/>
              </w:rPr>
            </w:pPr>
            <w:r w:rsidRPr="00B24CA7">
              <w:rPr>
                <w:b/>
                <w:bCs/>
              </w:rPr>
              <w:t xml:space="preserve">Contract Value </w:t>
            </w:r>
          </w:p>
          <w:p w14:paraId="3FAC049E" w14:textId="77777777" w:rsidR="00254D39" w:rsidRPr="00B24CA7" w:rsidRDefault="00254D39" w:rsidP="00EF1C5D">
            <w:pPr>
              <w:pStyle w:val="BodyText"/>
              <w:spacing w:before="1"/>
              <w:rPr>
                <w:b/>
                <w:bCs/>
              </w:rPr>
            </w:pPr>
            <w:r w:rsidRPr="00B24CA7">
              <w:rPr>
                <w:b/>
                <w:bCs/>
              </w:rPr>
              <w:t>Including VAT</w:t>
            </w:r>
          </w:p>
        </w:tc>
        <w:tc>
          <w:tcPr>
            <w:tcW w:w="3388" w:type="dxa"/>
            <w:vAlign w:val="center"/>
          </w:tcPr>
          <w:p w14:paraId="4539F5B1" w14:textId="77777777" w:rsidR="00254D39" w:rsidRPr="00B24CA7" w:rsidRDefault="00254D39" w:rsidP="00EF1C5D">
            <w:pPr>
              <w:pStyle w:val="BodyText"/>
              <w:spacing w:before="1"/>
              <w:rPr>
                <w:b/>
                <w:bCs/>
              </w:rPr>
            </w:pPr>
            <w:r w:rsidRPr="00B24CA7">
              <w:rPr>
                <w:b/>
                <w:bCs/>
              </w:rPr>
              <w:t xml:space="preserve">Who can authorise use of an Exemption </w:t>
            </w:r>
          </w:p>
        </w:tc>
        <w:tc>
          <w:tcPr>
            <w:tcW w:w="3260" w:type="dxa"/>
            <w:vAlign w:val="center"/>
          </w:tcPr>
          <w:p w14:paraId="5B936E67" w14:textId="77777777" w:rsidR="00254D39" w:rsidRPr="00B24CA7" w:rsidRDefault="00254D39" w:rsidP="00EF1C5D">
            <w:pPr>
              <w:pStyle w:val="BodyText"/>
              <w:spacing w:before="1"/>
              <w:rPr>
                <w:b/>
                <w:bCs/>
              </w:rPr>
            </w:pPr>
            <w:r w:rsidRPr="00B24CA7">
              <w:rPr>
                <w:b/>
                <w:bCs/>
              </w:rPr>
              <w:t xml:space="preserve">Who can authorise a Waiver </w:t>
            </w:r>
          </w:p>
        </w:tc>
      </w:tr>
      <w:tr w:rsidR="00254D39" w:rsidRPr="00B24CA7" w14:paraId="504098D8" w14:textId="77777777" w:rsidTr="00EF1C5D">
        <w:tc>
          <w:tcPr>
            <w:tcW w:w="2419" w:type="dxa"/>
            <w:vAlign w:val="center"/>
          </w:tcPr>
          <w:p w14:paraId="77CE9CC9" w14:textId="77777777" w:rsidR="00254D39" w:rsidRPr="00B24CA7" w:rsidRDefault="00254D39" w:rsidP="00EF1C5D">
            <w:pPr>
              <w:pStyle w:val="BodyText"/>
              <w:spacing w:before="1"/>
            </w:pPr>
            <w:r w:rsidRPr="00B24CA7">
              <w:rPr>
                <w:rFonts w:eastAsia="Times New Roman"/>
                <w:color w:val="242424"/>
              </w:rPr>
              <w:t>£0 - £29,999.99</w:t>
            </w:r>
          </w:p>
        </w:tc>
        <w:tc>
          <w:tcPr>
            <w:tcW w:w="3388" w:type="dxa"/>
            <w:vAlign w:val="center"/>
          </w:tcPr>
          <w:p w14:paraId="4C61B531" w14:textId="77777777" w:rsidR="00254D39" w:rsidRPr="00B24CA7" w:rsidRDefault="00254D39" w:rsidP="00EF1C5D">
            <w:pPr>
              <w:pStyle w:val="BodyText"/>
              <w:spacing w:before="1"/>
            </w:pPr>
            <w:r>
              <w:t xml:space="preserve">Service Director in consultation with: </w:t>
            </w:r>
          </w:p>
          <w:p w14:paraId="5B710179" w14:textId="77777777" w:rsidR="00254D39" w:rsidRPr="00B24CA7" w:rsidRDefault="00254D39" w:rsidP="00EF1C5D">
            <w:pPr>
              <w:pStyle w:val="BodyText"/>
              <w:spacing w:before="1"/>
            </w:pPr>
          </w:p>
          <w:p w14:paraId="195275A5" w14:textId="77777777" w:rsidR="00254D39" w:rsidRPr="00B24CA7" w:rsidRDefault="00254D39" w:rsidP="00EF1C5D">
            <w:pPr>
              <w:pStyle w:val="BodyText"/>
              <w:spacing w:before="1"/>
            </w:pPr>
            <w:r>
              <w:t xml:space="preserve">Strategic </w:t>
            </w:r>
            <w:r w:rsidRPr="00B24CA7">
              <w:t>Procurement Manager</w:t>
            </w:r>
          </w:p>
          <w:p w14:paraId="0B7809FF" w14:textId="77777777" w:rsidR="00254D39" w:rsidRPr="00B24CA7" w:rsidRDefault="00254D39" w:rsidP="00EF1C5D">
            <w:pPr>
              <w:pStyle w:val="BodyText"/>
              <w:spacing w:before="1"/>
            </w:pPr>
          </w:p>
          <w:p w14:paraId="172420F4" w14:textId="77777777" w:rsidR="00254D39" w:rsidRPr="00B24CA7" w:rsidRDefault="00254D39" w:rsidP="00EF1C5D">
            <w:pPr>
              <w:pStyle w:val="BodyText"/>
              <w:spacing w:before="1"/>
            </w:pPr>
            <w:r w:rsidRPr="00B24CA7">
              <w:lastRenderedPageBreak/>
              <w:t xml:space="preserve"> </w:t>
            </w:r>
          </w:p>
        </w:tc>
        <w:tc>
          <w:tcPr>
            <w:tcW w:w="3260" w:type="dxa"/>
            <w:vAlign w:val="center"/>
          </w:tcPr>
          <w:p w14:paraId="6010F5A6" w14:textId="77777777" w:rsidR="00254D39" w:rsidRPr="00B24CA7" w:rsidRDefault="00254D39" w:rsidP="00EF1C5D">
            <w:pPr>
              <w:pStyle w:val="BodyText"/>
              <w:spacing w:before="1"/>
            </w:pPr>
            <w:r>
              <w:lastRenderedPageBreak/>
              <w:t xml:space="preserve">Service Director in consultation with the Strategic Procurement Manager, even with the requirement of one quote </w:t>
            </w:r>
          </w:p>
          <w:p w14:paraId="05ACC650" w14:textId="77777777" w:rsidR="00254D39" w:rsidRPr="00B24CA7" w:rsidRDefault="00254D39" w:rsidP="00EF1C5D">
            <w:pPr>
              <w:pStyle w:val="BodyText"/>
              <w:spacing w:before="1"/>
            </w:pPr>
          </w:p>
        </w:tc>
      </w:tr>
      <w:tr w:rsidR="00254D39" w:rsidRPr="00B24CA7" w14:paraId="4E7B97FC" w14:textId="77777777" w:rsidTr="00EF1C5D">
        <w:trPr>
          <w:trHeight w:val="2147"/>
        </w:trPr>
        <w:tc>
          <w:tcPr>
            <w:tcW w:w="2419" w:type="dxa"/>
            <w:vAlign w:val="center"/>
          </w:tcPr>
          <w:p w14:paraId="59346FA2" w14:textId="77777777" w:rsidR="00254D39" w:rsidRPr="00B24CA7" w:rsidRDefault="00254D39" w:rsidP="00EF1C5D">
            <w:pPr>
              <w:pStyle w:val="BodyText"/>
              <w:spacing w:before="1"/>
            </w:pPr>
            <w:r w:rsidRPr="00B24CA7">
              <w:rPr>
                <w:rFonts w:eastAsia="Times New Roman"/>
                <w:color w:val="000000" w:themeColor="text1"/>
              </w:rPr>
              <w:t xml:space="preserve">£30,000 - </w:t>
            </w:r>
            <w:r>
              <w:t>public procurement regulatory threshold</w:t>
            </w:r>
          </w:p>
        </w:tc>
        <w:tc>
          <w:tcPr>
            <w:tcW w:w="3388" w:type="dxa"/>
            <w:vAlign w:val="center"/>
          </w:tcPr>
          <w:p w14:paraId="4BAB7989" w14:textId="77777777" w:rsidR="00254D39" w:rsidRPr="00B24CA7" w:rsidRDefault="00254D39" w:rsidP="00EF1C5D">
            <w:pPr>
              <w:pStyle w:val="BodyText"/>
              <w:spacing w:before="1"/>
            </w:pPr>
            <w:r>
              <w:t xml:space="preserve">Service Director in consultation with: </w:t>
            </w:r>
          </w:p>
          <w:p w14:paraId="0C6254E4" w14:textId="77777777" w:rsidR="00254D39" w:rsidRPr="00B24CA7" w:rsidRDefault="00254D39" w:rsidP="00EF1C5D">
            <w:pPr>
              <w:pStyle w:val="BodyText"/>
              <w:spacing w:before="1"/>
            </w:pPr>
          </w:p>
          <w:p w14:paraId="335F5352" w14:textId="77777777" w:rsidR="00254D39" w:rsidRPr="00B24CA7" w:rsidRDefault="00254D39" w:rsidP="00EF1C5D">
            <w:pPr>
              <w:pStyle w:val="BodyText"/>
              <w:spacing w:before="1"/>
            </w:pPr>
            <w:r>
              <w:t xml:space="preserve">Strategic </w:t>
            </w:r>
            <w:r w:rsidRPr="00B24CA7">
              <w:t xml:space="preserve">Procurement Manager and </w:t>
            </w:r>
            <w:r>
              <w:t>L</w:t>
            </w:r>
            <w:r w:rsidRPr="00B24CA7">
              <w:t xml:space="preserve">egal </w:t>
            </w:r>
            <w:r>
              <w:t>S</w:t>
            </w:r>
            <w:r w:rsidRPr="00B24CA7">
              <w:t>ervices</w:t>
            </w:r>
          </w:p>
        </w:tc>
        <w:tc>
          <w:tcPr>
            <w:tcW w:w="3260" w:type="dxa"/>
            <w:vAlign w:val="center"/>
          </w:tcPr>
          <w:p w14:paraId="6B0C35DF" w14:textId="77777777" w:rsidR="00254D39" w:rsidRPr="00B24CA7" w:rsidRDefault="00254D39" w:rsidP="00EF1C5D">
            <w:pPr>
              <w:pStyle w:val="BodyText"/>
              <w:spacing w:before="1"/>
            </w:pPr>
            <w:r>
              <w:t>Legal Services Manager (on behalf of the Director of Law, Governance and Strategy</w:t>
            </w:r>
          </w:p>
        </w:tc>
      </w:tr>
      <w:tr w:rsidR="00254D39" w:rsidRPr="00B24CA7" w14:paraId="112BFFB6" w14:textId="77777777" w:rsidTr="00EF1C5D">
        <w:tc>
          <w:tcPr>
            <w:tcW w:w="2419" w:type="dxa"/>
            <w:vAlign w:val="center"/>
          </w:tcPr>
          <w:p w14:paraId="76826EA4" w14:textId="77777777" w:rsidR="00254D39" w:rsidRDefault="00254D39" w:rsidP="00EF1C5D">
            <w:pPr>
              <w:pStyle w:val="BodyText"/>
              <w:spacing w:before="1"/>
              <w:rPr>
                <w:rFonts w:eastAsia="Times New Roman"/>
                <w:color w:val="000000" w:themeColor="text1"/>
              </w:rPr>
            </w:pPr>
            <w:r>
              <w:t>public procurement regulatory threshold</w:t>
            </w:r>
            <w:r w:rsidRPr="00B24CA7" w:rsidDel="00D22C8F">
              <w:rPr>
                <w:rFonts w:eastAsia="Times New Roman"/>
                <w:color w:val="000000" w:themeColor="text1"/>
              </w:rPr>
              <w:t xml:space="preserve"> </w:t>
            </w:r>
            <w:r w:rsidRPr="00B24CA7">
              <w:rPr>
                <w:rFonts w:eastAsia="Times New Roman"/>
                <w:color w:val="000000" w:themeColor="text1"/>
              </w:rPr>
              <w:t>– up to Key Decision Threshold</w:t>
            </w:r>
          </w:p>
          <w:p w14:paraId="04DB9074" w14:textId="77777777" w:rsidR="00254D39" w:rsidRPr="00B24CA7" w:rsidRDefault="00254D39" w:rsidP="00EF1C5D">
            <w:pPr>
              <w:pStyle w:val="BodyText"/>
              <w:spacing w:before="1"/>
            </w:pPr>
            <w:r>
              <w:rPr>
                <w:rFonts w:eastAsia="Times New Roman"/>
                <w:color w:val="000000" w:themeColor="text1"/>
              </w:rPr>
              <w:t>(where it is over the procurement regulatory threshold this is for Waivers only, exemptions are not allowed over threshold)</w:t>
            </w:r>
          </w:p>
        </w:tc>
        <w:tc>
          <w:tcPr>
            <w:tcW w:w="3388" w:type="dxa"/>
            <w:vAlign w:val="center"/>
          </w:tcPr>
          <w:p w14:paraId="764163D1" w14:textId="77777777" w:rsidR="00254D39" w:rsidRPr="00B24CA7" w:rsidRDefault="00254D39" w:rsidP="00EF1C5D">
            <w:pPr>
              <w:pStyle w:val="BodyText"/>
              <w:spacing w:before="1"/>
              <w:rPr>
                <w:rFonts w:eastAsia="Times New Roman"/>
                <w:color w:val="000000"/>
              </w:rPr>
            </w:pPr>
            <w:r w:rsidRPr="4D93267A">
              <w:rPr>
                <w:rFonts w:eastAsia="Times New Roman"/>
                <w:color w:val="000000" w:themeColor="text1"/>
              </w:rPr>
              <w:t xml:space="preserve">Deputy Chief Executive in consultation with: </w:t>
            </w:r>
          </w:p>
          <w:p w14:paraId="459F332D" w14:textId="77777777" w:rsidR="00254D39" w:rsidRPr="00B24CA7" w:rsidRDefault="00254D39" w:rsidP="00EF1C5D">
            <w:pPr>
              <w:pStyle w:val="BodyText"/>
              <w:spacing w:before="1"/>
              <w:rPr>
                <w:rFonts w:eastAsia="Times New Roman"/>
                <w:color w:val="000000"/>
              </w:rPr>
            </w:pPr>
          </w:p>
          <w:p w14:paraId="077B0EB5" w14:textId="77777777" w:rsidR="00254D39" w:rsidRPr="00B24CA7" w:rsidRDefault="00254D39" w:rsidP="00EF1C5D">
            <w:pPr>
              <w:pStyle w:val="BodyText"/>
              <w:spacing w:before="1"/>
              <w:rPr>
                <w:rFonts w:eastAsia="Times New Roman"/>
                <w:color w:val="000000" w:themeColor="text1"/>
              </w:rPr>
            </w:pPr>
            <w:r w:rsidRPr="4D93267A">
              <w:rPr>
                <w:rFonts w:eastAsia="Times New Roman"/>
                <w:color w:val="000000" w:themeColor="text1"/>
              </w:rPr>
              <w:t xml:space="preserve">Group Finance Director; </w:t>
            </w:r>
            <w:r>
              <w:rPr>
                <w:rFonts w:eastAsia="Times New Roman"/>
                <w:color w:val="000000" w:themeColor="text1"/>
              </w:rPr>
              <w:t xml:space="preserve">Strategic </w:t>
            </w:r>
            <w:r w:rsidRPr="4D93267A">
              <w:rPr>
                <w:rFonts w:eastAsia="Times New Roman"/>
                <w:color w:val="000000" w:themeColor="text1"/>
              </w:rPr>
              <w:t>Procurement Manager; and Director of Law, Governance and Strategy</w:t>
            </w:r>
          </w:p>
        </w:tc>
        <w:tc>
          <w:tcPr>
            <w:tcW w:w="3260" w:type="dxa"/>
            <w:vAlign w:val="center"/>
          </w:tcPr>
          <w:p w14:paraId="16EFE290" w14:textId="77777777" w:rsidR="00254D39" w:rsidRPr="00B24CA7" w:rsidRDefault="00254D39" w:rsidP="00EF1C5D">
            <w:pPr>
              <w:pStyle w:val="BodyText"/>
              <w:spacing w:before="1"/>
              <w:rPr>
                <w:rFonts w:eastAsia="Times New Roman"/>
                <w:color w:val="000000" w:themeColor="text1"/>
              </w:rPr>
            </w:pPr>
            <w:r w:rsidRPr="4D93267A">
              <w:rPr>
                <w:rFonts w:eastAsia="Times New Roman"/>
                <w:color w:val="000000" w:themeColor="text1"/>
              </w:rPr>
              <w:t>Director of Law, Governance and Strategy</w:t>
            </w:r>
            <w:r>
              <w:t xml:space="preserve"> with: </w:t>
            </w:r>
          </w:p>
          <w:p w14:paraId="0BD3799E" w14:textId="77777777" w:rsidR="00254D39" w:rsidRPr="00B24CA7" w:rsidRDefault="00254D39" w:rsidP="00EF1C5D">
            <w:pPr>
              <w:pStyle w:val="BodyText"/>
              <w:spacing w:before="1"/>
            </w:pPr>
          </w:p>
          <w:p w14:paraId="4AED6AEE" w14:textId="77777777" w:rsidR="00254D39" w:rsidRPr="00B24CA7" w:rsidRDefault="00254D39" w:rsidP="00EF1C5D">
            <w:pPr>
              <w:pStyle w:val="BodyText"/>
              <w:spacing w:before="1"/>
            </w:pPr>
            <w:r>
              <w:t>Group Finance Director and relevant Service Director</w:t>
            </w:r>
          </w:p>
        </w:tc>
      </w:tr>
      <w:tr w:rsidR="00254D39" w:rsidRPr="00B24CA7" w14:paraId="711D282C" w14:textId="77777777" w:rsidTr="00EF1C5D">
        <w:tc>
          <w:tcPr>
            <w:tcW w:w="2419" w:type="dxa"/>
          </w:tcPr>
          <w:p w14:paraId="5FFD9506" w14:textId="77777777" w:rsidR="00254D39" w:rsidRPr="00B24CA7" w:rsidRDefault="00254D39" w:rsidP="00EF1C5D">
            <w:pPr>
              <w:pStyle w:val="BodyText"/>
              <w:spacing w:before="1"/>
              <w:rPr>
                <w:rFonts w:eastAsia="Times New Roman"/>
                <w:color w:val="000000"/>
              </w:rPr>
            </w:pPr>
            <w:r>
              <w:t xml:space="preserve">Over Key Decision </w:t>
            </w:r>
            <w:proofErr w:type="gramStart"/>
            <w:r>
              <w:t>Threshold  (</w:t>
            </w:r>
            <w:proofErr w:type="gramEnd"/>
            <w:r w:rsidRPr="089C44C7">
              <w:rPr>
                <w:rFonts w:eastAsia="Times New Roman"/>
                <w:color w:val="000000" w:themeColor="text1"/>
              </w:rPr>
              <w:t xml:space="preserve"> (where it is over the procurement regulatory threshold this is for Waivers only, exemptions are not allowed over threshold)</w:t>
            </w:r>
          </w:p>
        </w:tc>
        <w:tc>
          <w:tcPr>
            <w:tcW w:w="3388" w:type="dxa"/>
            <w:vAlign w:val="center"/>
          </w:tcPr>
          <w:p w14:paraId="1E4AF1F4" w14:textId="77777777" w:rsidR="00254D39" w:rsidRPr="00B24CA7" w:rsidRDefault="00254D39" w:rsidP="00EF1C5D">
            <w:pPr>
              <w:pStyle w:val="BodyText"/>
              <w:spacing w:before="1"/>
            </w:pPr>
            <w:r w:rsidRPr="00B24CA7">
              <w:t xml:space="preserve">Cabinet </w:t>
            </w:r>
          </w:p>
        </w:tc>
        <w:tc>
          <w:tcPr>
            <w:tcW w:w="3260" w:type="dxa"/>
            <w:vAlign w:val="center"/>
          </w:tcPr>
          <w:p w14:paraId="3C30F143" w14:textId="77777777" w:rsidR="00254D39" w:rsidRPr="00B24CA7" w:rsidRDefault="00254D39" w:rsidP="00EF1C5D">
            <w:pPr>
              <w:pStyle w:val="BodyText"/>
              <w:spacing w:before="1"/>
              <w:rPr>
                <w:rFonts w:eastAsia="Times New Roman"/>
                <w:color w:val="000000" w:themeColor="text1"/>
              </w:rPr>
            </w:pPr>
            <w:r w:rsidRPr="4D93267A">
              <w:rPr>
                <w:rFonts w:eastAsia="Times New Roman"/>
                <w:color w:val="000000" w:themeColor="text1"/>
              </w:rPr>
              <w:t>Director of Law, Governance and Strategy</w:t>
            </w:r>
            <w:r>
              <w:t xml:space="preserve"> in consultation with: </w:t>
            </w:r>
          </w:p>
          <w:p w14:paraId="3CA46617" w14:textId="77777777" w:rsidR="00254D39" w:rsidRPr="00B24CA7" w:rsidRDefault="00254D39" w:rsidP="00EF1C5D">
            <w:pPr>
              <w:pStyle w:val="BodyText"/>
              <w:spacing w:before="1"/>
            </w:pPr>
          </w:p>
          <w:p w14:paraId="09ED5687" w14:textId="77777777" w:rsidR="00254D39" w:rsidRPr="00B24CA7" w:rsidRDefault="00254D39" w:rsidP="00EF1C5D">
            <w:pPr>
              <w:pStyle w:val="BodyText"/>
              <w:spacing w:before="1"/>
            </w:pPr>
            <w:r>
              <w:t>Group Finance Director and relevant Deputy Chief Executive and Service Director</w:t>
            </w:r>
          </w:p>
        </w:tc>
      </w:tr>
    </w:tbl>
    <w:p w14:paraId="3C068337" w14:textId="77777777" w:rsidR="00254D39" w:rsidRDefault="00254D39" w:rsidP="008A22C6"/>
    <w:p w14:paraId="57C36ECE" w14:textId="77777777" w:rsidR="00254D39" w:rsidRDefault="00254D39" w:rsidP="008A22C6"/>
    <w:p w14:paraId="0D1F25B4" w14:textId="761F5DC2" w:rsidR="0044158A" w:rsidRDefault="0044158A" w:rsidP="008A22C6">
      <w:r>
        <w:t>Changes to table at 19.16:</w:t>
      </w:r>
    </w:p>
    <w:tbl>
      <w:tblPr>
        <w:tblpPr w:leftFromText="180" w:rightFromText="180" w:vertAnchor="text" w:horzAnchor="margin" w:tblpXSpec="center" w:tblpY="217"/>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1559"/>
        <w:gridCol w:w="3544"/>
        <w:gridCol w:w="2693"/>
      </w:tblGrid>
      <w:tr w:rsidR="0044158A" w:rsidRPr="00B24CA7" w14:paraId="550A86B6" w14:textId="77777777" w:rsidTr="00EF1C5D">
        <w:trPr>
          <w:trHeight w:val="672"/>
        </w:trPr>
        <w:tc>
          <w:tcPr>
            <w:tcW w:w="1838" w:type="dxa"/>
          </w:tcPr>
          <w:p w14:paraId="6473506B" w14:textId="77777777" w:rsidR="0044158A" w:rsidRPr="00B24CA7" w:rsidRDefault="0044158A" w:rsidP="00EF1C5D">
            <w:pPr>
              <w:pStyle w:val="TableParagraph"/>
              <w:ind w:left="143" w:right="275"/>
              <w:rPr>
                <w:b/>
                <w:sz w:val="24"/>
                <w:szCs w:val="24"/>
              </w:rPr>
            </w:pPr>
            <w:r w:rsidRPr="00B24CA7">
              <w:rPr>
                <w:b/>
                <w:sz w:val="24"/>
                <w:szCs w:val="24"/>
              </w:rPr>
              <w:t xml:space="preserve">Value </w:t>
            </w:r>
          </w:p>
          <w:p w14:paraId="36E10D3D" w14:textId="77777777" w:rsidR="0044158A" w:rsidRPr="00B24CA7" w:rsidRDefault="0044158A" w:rsidP="00EF1C5D">
            <w:pPr>
              <w:pStyle w:val="TableParagraph"/>
              <w:ind w:left="143" w:right="275"/>
              <w:rPr>
                <w:b/>
                <w:sz w:val="24"/>
                <w:szCs w:val="24"/>
              </w:rPr>
            </w:pPr>
            <w:r w:rsidRPr="00B24CA7">
              <w:rPr>
                <w:b/>
                <w:sz w:val="24"/>
                <w:szCs w:val="24"/>
              </w:rPr>
              <w:t>Including VAT</w:t>
            </w:r>
          </w:p>
        </w:tc>
        <w:tc>
          <w:tcPr>
            <w:tcW w:w="1559" w:type="dxa"/>
          </w:tcPr>
          <w:p w14:paraId="72C5A264" w14:textId="77777777" w:rsidR="0044158A" w:rsidRPr="00B24CA7" w:rsidRDefault="0044158A" w:rsidP="00EF1C5D">
            <w:pPr>
              <w:pStyle w:val="TableParagraph"/>
              <w:spacing w:line="272" w:lineRule="exact"/>
              <w:ind w:left="143"/>
              <w:rPr>
                <w:b/>
                <w:sz w:val="24"/>
                <w:szCs w:val="24"/>
              </w:rPr>
            </w:pPr>
            <w:r w:rsidRPr="00B24CA7">
              <w:rPr>
                <w:b/>
                <w:sz w:val="24"/>
                <w:szCs w:val="24"/>
              </w:rPr>
              <w:t xml:space="preserve">Type </w:t>
            </w:r>
          </w:p>
        </w:tc>
        <w:tc>
          <w:tcPr>
            <w:tcW w:w="3544" w:type="dxa"/>
          </w:tcPr>
          <w:p w14:paraId="22F3D03D" w14:textId="77777777" w:rsidR="0044158A" w:rsidRPr="00B24CA7" w:rsidRDefault="0044158A" w:rsidP="00EF1C5D">
            <w:pPr>
              <w:pStyle w:val="TableParagraph"/>
              <w:spacing w:line="272" w:lineRule="exact"/>
              <w:ind w:left="143"/>
              <w:rPr>
                <w:b/>
                <w:sz w:val="24"/>
                <w:szCs w:val="24"/>
              </w:rPr>
            </w:pPr>
            <w:r w:rsidRPr="00B24CA7">
              <w:rPr>
                <w:b/>
                <w:sz w:val="24"/>
                <w:szCs w:val="24"/>
              </w:rPr>
              <w:t>Quotes or tendering</w:t>
            </w:r>
          </w:p>
        </w:tc>
        <w:tc>
          <w:tcPr>
            <w:tcW w:w="2693" w:type="dxa"/>
          </w:tcPr>
          <w:p w14:paraId="7E887C03" w14:textId="77777777" w:rsidR="0044158A" w:rsidRPr="00B24CA7" w:rsidRDefault="0044158A" w:rsidP="00EF1C5D">
            <w:pPr>
              <w:pStyle w:val="TableParagraph"/>
              <w:spacing w:line="272" w:lineRule="exact"/>
              <w:ind w:left="141"/>
              <w:rPr>
                <w:b/>
                <w:sz w:val="24"/>
                <w:szCs w:val="24"/>
              </w:rPr>
            </w:pPr>
            <w:r w:rsidRPr="00B24CA7">
              <w:rPr>
                <w:b/>
                <w:sz w:val="24"/>
                <w:szCs w:val="24"/>
              </w:rPr>
              <w:t>Process led by</w:t>
            </w:r>
          </w:p>
        </w:tc>
      </w:tr>
      <w:tr w:rsidR="0044158A" w:rsidRPr="00B24CA7" w14:paraId="4AAB327E" w14:textId="77777777" w:rsidTr="00EF1C5D">
        <w:trPr>
          <w:trHeight w:val="1499"/>
        </w:trPr>
        <w:tc>
          <w:tcPr>
            <w:tcW w:w="1838" w:type="dxa"/>
          </w:tcPr>
          <w:p w14:paraId="0FDEC545" w14:textId="77777777" w:rsidR="0044158A" w:rsidRPr="00B24CA7" w:rsidRDefault="0044158A" w:rsidP="00EF1C5D">
            <w:pPr>
              <w:pStyle w:val="TableParagraph"/>
              <w:spacing w:line="271" w:lineRule="exact"/>
              <w:ind w:left="143"/>
              <w:rPr>
                <w:sz w:val="24"/>
                <w:szCs w:val="24"/>
              </w:rPr>
            </w:pPr>
            <w:r>
              <w:rPr>
                <w:spacing w:val="65"/>
                <w:sz w:val="24"/>
                <w:szCs w:val="24"/>
              </w:rPr>
              <w:t xml:space="preserve">up to </w:t>
            </w:r>
            <w:r w:rsidRPr="00B24CA7">
              <w:rPr>
                <w:sz w:val="24"/>
                <w:szCs w:val="24"/>
              </w:rPr>
              <w:t>£29,999.99</w:t>
            </w:r>
          </w:p>
        </w:tc>
        <w:tc>
          <w:tcPr>
            <w:tcW w:w="1559" w:type="dxa"/>
          </w:tcPr>
          <w:p w14:paraId="704290AD" w14:textId="77777777" w:rsidR="0044158A" w:rsidRPr="00B24CA7" w:rsidRDefault="0044158A" w:rsidP="00EF1C5D">
            <w:pPr>
              <w:pStyle w:val="TableParagraph"/>
              <w:spacing w:before="115"/>
              <w:ind w:right="104"/>
              <w:rPr>
                <w:sz w:val="24"/>
                <w:szCs w:val="24"/>
              </w:rPr>
            </w:pPr>
            <w:r w:rsidRPr="00B24CA7">
              <w:rPr>
                <w:sz w:val="24"/>
                <w:szCs w:val="24"/>
              </w:rPr>
              <w:t xml:space="preserve">Goods </w:t>
            </w:r>
          </w:p>
          <w:p w14:paraId="44B527EC" w14:textId="77777777" w:rsidR="0044158A" w:rsidRPr="00B24CA7" w:rsidRDefault="0044158A" w:rsidP="00EF1C5D">
            <w:pPr>
              <w:pStyle w:val="TableParagraph"/>
              <w:spacing w:before="115"/>
              <w:ind w:right="104"/>
              <w:rPr>
                <w:sz w:val="24"/>
                <w:szCs w:val="24"/>
              </w:rPr>
            </w:pPr>
            <w:r w:rsidRPr="00B24CA7">
              <w:rPr>
                <w:sz w:val="24"/>
                <w:szCs w:val="24"/>
              </w:rPr>
              <w:t xml:space="preserve">Works </w:t>
            </w:r>
          </w:p>
          <w:p w14:paraId="74C951F0" w14:textId="77777777" w:rsidR="0044158A" w:rsidRPr="00B24CA7" w:rsidRDefault="0044158A" w:rsidP="00EF1C5D">
            <w:pPr>
              <w:pStyle w:val="TableParagraph"/>
              <w:spacing w:before="115"/>
              <w:ind w:right="104"/>
              <w:rPr>
                <w:sz w:val="24"/>
                <w:szCs w:val="24"/>
              </w:rPr>
            </w:pPr>
            <w:r w:rsidRPr="00B24CA7">
              <w:rPr>
                <w:sz w:val="24"/>
                <w:szCs w:val="24"/>
              </w:rPr>
              <w:t>Services</w:t>
            </w:r>
          </w:p>
          <w:p w14:paraId="6A594FC8" w14:textId="77777777" w:rsidR="0044158A" w:rsidRPr="00B24CA7" w:rsidRDefault="0044158A" w:rsidP="00EF1C5D">
            <w:pPr>
              <w:pStyle w:val="TableParagraph"/>
              <w:spacing w:before="115"/>
              <w:ind w:right="104"/>
              <w:rPr>
                <w:sz w:val="24"/>
                <w:szCs w:val="24"/>
              </w:rPr>
            </w:pPr>
            <w:r w:rsidRPr="00B24CA7">
              <w:rPr>
                <w:sz w:val="24"/>
                <w:szCs w:val="24"/>
              </w:rPr>
              <w:t>Concession</w:t>
            </w:r>
          </w:p>
        </w:tc>
        <w:tc>
          <w:tcPr>
            <w:tcW w:w="3544" w:type="dxa"/>
          </w:tcPr>
          <w:p w14:paraId="7F56A590" w14:textId="77777777" w:rsidR="0044158A" w:rsidRPr="00B24CA7" w:rsidRDefault="0044158A" w:rsidP="00EF1C5D">
            <w:pPr>
              <w:pStyle w:val="TableParagraph"/>
              <w:ind w:left="143" w:right="78"/>
              <w:rPr>
                <w:sz w:val="24"/>
                <w:szCs w:val="24"/>
              </w:rPr>
            </w:pPr>
            <w:r w:rsidRPr="00B24CA7">
              <w:rPr>
                <w:sz w:val="24"/>
                <w:szCs w:val="24"/>
              </w:rPr>
              <w:t xml:space="preserve">Minimum one quote in writing, (local supplier if possible) </w:t>
            </w:r>
            <w:r>
              <w:rPr>
                <w:sz w:val="24"/>
                <w:szCs w:val="24"/>
              </w:rPr>
              <w:t>or</w:t>
            </w:r>
          </w:p>
          <w:p w14:paraId="3A1A7375" w14:textId="77777777" w:rsidR="0044158A" w:rsidRPr="00B24CA7" w:rsidRDefault="0044158A" w:rsidP="00EF1C5D">
            <w:pPr>
              <w:pStyle w:val="TableParagraph"/>
              <w:ind w:left="143" w:right="78"/>
              <w:rPr>
                <w:sz w:val="24"/>
                <w:szCs w:val="24"/>
              </w:rPr>
            </w:pPr>
          </w:p>
          <w:p w14:paraId="23CC29F2" w14:textId="77777777" w:rsidR="0044158A" w:rsidRPr="00B24CA7" w:rsidRDefault="0044158A" w:rsidP="00EF1C5D">
            <w:pPr>
              <w:pStyle w:val="TableParagraph"/>
              <w:ind w:left="143" w:right="78"/>
              <w:rPr>
                <w:sz w:val="24"/>
                <w:szCs w:val="24"/>
              </w:rPr>
            </w:pPr>
            <w:r w:rsidRPr="00B24CA7">
              <w:rPr>
                <w:sz w:val="24"/>
                <w:szCs w:val="24"/>
              </w:rPr>
              <w:t>Use of an approved Framework</w:t>
            </w:r>
          </w:p>
        </w:tc>
        <w:tc>
          <w:tcPr>
            <w:tcW w:w="2693" w:type="dxa"/>
          </w:tcPr>
          <w:p w14:paraId="6A71E59B" w14:textId="77777777" w:rsidR="0044158A" w:rsidRPr="00B24CA7" w:rsidRDefault="0044158A" w:rsidP="00EF1C5D">
            <w:pPr>
              <w:pStyle w:val="TableParagraph"/>
              <w:ind w:left="141" w:right="104"/>
              <w:rPr>
                <w:sz w:val="24"/>
                <w:szCs w:val="24"/>
              </w:rPr>
            </w:pPr>
            <w:r w:rsidRPr="4D93267A">
              <w:rPr>
                <w:sz w:val="24"/>
                <w:szCs w:val="24"/>
              </w:rPr>
              <w:t xml:space="preserve">Officer authorised by the relevant Service Director </w:t>
            </w:r>
          </w:p>
          <w:p w14:paraId="2E824A18" w14:textId="77777777" w:rsidR="0044158A" w:rsidRPr="00B24CA7" w:rsidRDefault="0044158A" w:rsidP="00EF1C5D">
            <w:pPr>
              <w:pStyle w:val="TableParagraph"/>
              <w:ind w:left="141" w:right="104"/>
              <w:rPr>
                <w:sz w:val="24"/>
                <w:szCs w:val="24"/>
              </w:rPr>
            </w:pPr>
          </w:p>
          <w:p w14:paraId="57614BF1" w14:textId="77777777" w:rsidR="0044158A" w:rsidRPr="00B24CA7" w:rsidRDefault="0044158A" w:rsidP="00EF1C5D">
            <w:pPr>
              <w:pStyle w:val="TableParagraph"/>
              <w:ind w:left="141" w:right="104"/>
              <w:rPr>
                <w:sz w:val="24"/>
                <w:szCs w:val="24"/>
              </w:rPr>
            </w:pPr>
          </w:p>
        </w:tc>
      </w:tr>
      <w:tr w:rsidR="0044158A" w:rsidRPr="00B24CA7" w14:paraId="5FB12045" w14:textId="77777777" w:rsidTr="00EF1C5D">
        <w:trPr>
          <w:trHeight w:val="1499"/>
        </w:trPr>
        <w:tc>
          <w:tcPr>
            <w:tcW w:w="1838" w:type="dxa"/>
          </w:tcPr>
          <w:p w14:paraId="24BCF2BA" w14:textId="77777777" w:rsidR="0044158A" w:rsidRPr="00B24CA7" w:rsidRDefault="0044158A" w:rsidP="00EF1C5D">
            <w:pPr>
              <w:pStyle w:val="TableParagraph"/>
              <w:spacing w:line="271" w:lineRule="exact"/>
              <w:ind w:left="143"/>
              <w:rPr>
                <w:sz w:val="24"/>
                <w:szCs w:val="24"/>
              </w:rPr>
            </w:pPr>
            <w:r w:rsidRPr="00B24CA7">
              <w:rPr>
                <w:sz w:val="24"/>
                <w:szCs w:val="24"/>
              </w:rPr>
              <w:t>£</w:t>
            </w:r>
            <w:r>
              <w:rPr>
                <w:sz w:val="24"/>
                <w:szCs w:val="24"/>
              </w:rPr>
              <w:t>30,000.00</w:t>
            </w:r>
            <w:r w:rsidRPr="00B24CA7">
              <w:rPr>
                <w:sz w:val="24"/>
                <w:szCs w:val="24"/>
              </w:rPr>
              <w:t xml:space="preserve"> </w:t>
            </w:r>
            <w:r>
              <w:rPr>
                <w:sz w:val="24"/>
                <w:szCs w:val="24"/>
              </w:rPr>
              <w:t xml:space="preserve">and over </w:t>
            </w:r>
            <w:r w:rsidRPr="00B24CA7">
              <w:rPr>
                <w:sz w:val="24"/>
                <w:szCs w:val="24"/>
              </w:rPr>
              <w:t xml:space="preserve">up </w:t>
            </w:r>
            <w:proofErr w:type="gramStart"/>
            <w:r w:rsidRPr="00B24CA7">
              <w:rPr>
                <w:sz w:val="24"/>
                <w:szCs w:val="24"/>
              </w:rPr>
              <w:t xml:space="preserve">to </w:t>
            </w:r>
            <w:r>
              <w:rPr>
                <w:sz w:val="24"/>
                <w:szCs w:val="24"/>
              </w:rPr>
              <w:t xml:space="preserve"> public</w:t>
            </w:r>
            <w:proofErr w:type="gramEnd"/>
            <w:r>
              <w:rPr>
                <w:sz w:val="24"/>
                <w:szCs w:val="24"/>
              </w:rPr>
              <w:t xml:space="preserve"> procurement regulatory threshold</w:t>
            </w:r>
            <w:r w:rsidRPr="00B24CA7" w:rsidDel="0028351A">
              <w:rPr>
                <w:sz w:val="24"/>
                <w:szCs w:val="24"/>
              </w:rPr>
              <w:t xml:space="preserve"> </w:t>
            </w:r>
            <w:r>
              <w:rPr>
                <w:sz w:val="24"/>
                <w:szCs w:val="24"/>
              </w:rPr>
              <w:t xml:space="preserve"> </w:t>
            </w:r>
          </w:p>
        </w:tc>
        <w:tc>
          <w:tcPr>
            <w:tcW w:w="1559" w:type="dxa"/>
          </w:tcPr>
          <w:p w14:paraId="7FB89312" w14:textId="77777777" w:rsidR="0044158A" w:rsidRPr="00B24CA7" w:rsidRDefault="0044158A" w:rsidP="00EF1C5D">
            <w:pPr>
              <w:pStyle w:val="TableParagraph"/>
              <w:spacing w:before="115"/>
              <w:ind w:right="104"/>
              <w:rPr>
                <w:sz w:val="24"/>
                <w:szCs w:val="24"/>
              </w:rPr>
            </w:pPr>
            <w:r w:rsidRPr="00B24CA7">
              <w:rPr>
                <w:sz w:val="24"/>
                <w:szCs w:val="24"/>
              </w:rPr>
              <w:t xml:space="preserve">Goods </w:t>
            </w:r>
          </w:p>
          <w:p w14:paraId="66EF2102" w14:textId="77777777" w:rsidR="0044158A" w:rsidRPr="00B24CA7" w:rsidRDefault="0044158A" w:rsidP="00EF1C5D">
            <w:pPr>
              <w:pStyle w:val="TableParagraph"/>
              <w:spacing w:before="115"/>
              <w:ind w:right="104"/>
              <w:rPr>
                <w:sz w:val="24"/>
                <w:szCs w:val="24"/>
              </w:rPr>
            </w:pPr>
            <w:r w:rsidRPr="00B24CA7">
              <w:rPr>
                <w:sz w:val="24"/>
                <w:szCs w:val="24"/>
              </w:rPr>
              <w:t>Services</w:t>
            </w:r>
          </w:p>
          <w:p w14:paraId="7ED23326" w14:textId="77777777" w:rsidR="0044158A" w:rsidRPr="00B24CA7" w:rsidRDefault="0044158A" w:rsidP="00EF1C5D">
            <w:pPr>
              <w:pStyle w:val="TableParagraph"/>
              <w:spacing w:before="115"/>
              <w:ind w:right="104"/>
              <w:rPr>
                <w:sz w:val="24"/>
                <w:szCs w:val="24"/>
              </w:rPr>
            </w:pPr>
          </w:p>
        </w:tc>
        <w:tc>
          <w:tcPr>
            <w:tcW w:w="3544" w:type="dxa"/>
          </w:tcPr>
          <w:p w14:paraId="61012872" w14:textId="77777777" w:rsidR="0044158A" w:rsidRPr="00B24CA7" w:rsidRDefault="0044158A" w:rsidP="00EF1C5D">
            <w:pPr>
              <w:pStyle w:val="TableParagraph"/>
              <w:ind w:left="143" w:right="78"/>
              <w:rPr>
                <w:sz w:val="24"/>
                <w:szCs w:val="24"/>
              </w:rPr>
            </w:pPr>
            <w:r w:rsidRPr="00B24CA7">
              <w:rPr>
                <w:sz w:val="24"/>
                <w:szCs w:val="24"/>
              </w:rPr>
              <w:t xml:space="preserve">A minimum of three written quotes (one from a local supplier if possible). 6 recommended as best practice. </w:t>
            </w:r>
            <w:r>
              <w:rPr>
                <w:sz w:val="24"/>
                <w:szCs w:val="24"/>
              </w:rPr>
              <w:t>or</w:t>
            </w:r>
          </w:p>
          <w:p w14:paraId="04799022" w14:textId="77777777" w:rsidR="0044158A" w:rsidRPr="00B24CA7" w:rsidRDefault="0044158A" w:rsidP="00EF1C5D">
            <w:pPr>
              <w:pStyle w:val="TableParagraph"/>
              <w:ind w:left="143" w:right="78"/>
              <w:rPr>
                <w:sz w:val="24"/>
                <w:szCs w:val="24"/>
              </w:rPr>
            </w:pPr>
          </w:p>
          <w:p w14:paraId="469B1F59" w14:textId="77777777" w:rsidR="0044158A" w:rsidRPr="00B24CA7" w:rsidRDefault="0044158A" w:rsidP="00EF1C5D">
            <w:pPr>
              <w:pStyle w:val="TableParagraph"/>
              <w:ind w:left="143" w:right="78"/>
              <w:rPr>
                <w:sz w:val="24"/>
                <w:szCs w:val="24"/>
              </w:rPr>
            </w:pPr>
            <w:r w:rsidRPr="00B24CA7">
              <w:rPr>
                <w:sz w:val="24"/>
                <w:szCs w:val="24"/>
              </w:rPr>
              <w:t xml:space="preserve">Use of an approved Framework </w:t>
            </w:r>
          </w:p>
        </w:tc>
        <w:tc>
          <w:tcPr>
            <w:tcW w:w="2693" w:type="dxa"/>
          </w:tcPr>
          <w:p w14:paraId="480E7F9C" w14:textId="77777777" w:rsidR="0044158A" w:rsidRDefault="0044158A" w:rsidP="00EF1C5D">
            <w:pPr>
              <w:pStyle w:val="TableParagraph"/>
              <w:ind w:left="141" w:right="104"/>
              <w:rPr>
                <w:sz w:val="24"/>
                <w:szCs w:val="24"/>
              </w:rPr>
            </w:pPr>
            <w:r w:rsidRPr="58DA8CCC">
              <w:rPr>
                <w:sz w:val="24"/>
                <w:szCs w:val="24"/>
              </w:rPr>
              <w:t>Officer authorised by the relevant Service Director or the Procurement Team</w:t>
            </w:r>
          </w:p>
          <w:p w14:paraId="6F425B30" w14:textId="77777777" w:rsidR="0044158A" w:rsidRDefault="0044158A" w:rsidP="00EF1C5D">
            <w:pPr>
              <w:pStyle w:val="TableParagraph"/>
              <w:rPr>
                <w:sz w:val="24"/>
                <w:szCs w:val="24"/>
              </w:rPr>
            </w:pPr>
          </w:p>
        </w:tc>
      </w:tr>
      <w:tr w:rsidR="0044158A" w:rsidRPr="00B24CA7" w14:paraId="3217E087" w14:textId="77777777" w:rsidTr="00EF1C5D">
        <w:trPr>
          <w:trHeight w:val="1499"/>
        </w:trPr>
        <w:tc>
          <w:tcPr>
            <w:tcW w:w="1838" w:type="dxa"/>
          </w:tcPr>
          <w:p w14:paraId="292FDD32" w14:textId="77777777" w:rsidR="0044158A" w:rsidRPr="00B24CA7" w:rsidRDefault="0044158A" w:rsidP="00EF1C5D">
            <w:pPr>
              <w:pStyle w:val="TableParagraph"/>
              <w:spacing w:line="271" w:lineRule="exact"/>
              <w:ind w:left="143"/>
              <w:rPr>
                <w:sz w:val="24"/>
                <w:szCs w:val="24"/>
              </w:rPr>
            </w:pPr>
            <w:r w:rsidRPr="00B24CA7">
              <w:rPr>
                <w:sz w:val="24"/>
                <w:szCs w:val="24"/>
              </w:rPr>
              <w:t xml:space="preserve">£30,000.00 and </w:t>
            </w:r>
            <w:r>
              <w:rPr>
                <w:sz w:val="24"/>
                <w:szCs w:val="24"/>
              </w:rPr>
              <w:t xml:space="preserve">over </w:t>
            </w:r>
            <w:r w:rsidRPr="00B24CA7">
              <w:rPr>
                <w:sz w:val="24"/>
                <w:szCs w:val="24"/>
              </w:rPr>
              <w:t>up to £</w:t>
            </w:r>
            <w:r>
              <w:rPr>
                <w:sz w:val="24"/>
                <w:szCs w:val="24"/>
              </w:rPr>
              <w:t>999,999.99</w:t>
            </w:r>
            <w:r w:rsidRPr="00B24CA7">
              <w:rPr>
                <w:sz w:val="24"/>
                <w:szCs w:val="24"/>
              </w:rPr>
              <w:t xml:space="preserve"> </w:t>
            </w:r>
          </w:p>
        </w:tc>
        <w:tc>
          <w:tcPr>
            <w:tcW w:w="1559" w:type="dxa"/>
          </w:tcPr>
          <w:p w14:paraId="2C4590BF" w14:textId="77777777" w:rsidR="0044158A" w:rsidRPr="00B24CA7" w:rsidRDefault="0044158A" w:rsidP="00EF1C5D">
            <w:pPr>
              <w:pStyle w:val="TableParagraph"/>
              <w:spacing w:before="115"/>
              <w:ind w:right="104"/>
              <w:rPr>
                <w:sz w:val="24"/>
                <w:szCs w:val="24"/>
              </w:rPr>
            </w:pPr>
            <w:r w:rsidRPr="00B24CA7">
              <w:rPr>
                <w:sz w:val="24"/>
                <w:szCs w:val="24"/>
              </w:rPr>
              <w:t xml:space="preserve">Works </w:t>
            </w:r>
          </w:p>
          <w:p w14:paraId="03CEB11A" w14:textId="77777777" w:rsidR="0044158A" w:rsidRPr="00B24CA7" w:rsidRDefault="0044158A" w:rsidP="00EF1C5D">
            <w:pPr>
              <w:pStyle w:val="TableParagraph"/>
              <w:spacing w:before="115"/>
              <w:ind w:right="104"/>
              <w:rPr>
                <w:sz w:val="24"/>
                <w:szCs w:val="24"/>
              </w:rPr>
            </w:pPr>
            <w:r w:rsidRPr="00B24CA7">
              <w:rPr>
                <w:sz w:val="24"/>
                <w:szCs w:val="24"/>
              </w:rPr>
              <w:t>Concession</w:t>
            </w:r>
          </w:p>
        </w:tc>
        <w:tc>
          <w:tcPr>
            <w:tcW w:w="3544" w:type="dxa"/>
          </w:tcPr>
          <w:p w14:paraId="2B6CF163" w14:textId="77777777" w:rsidR="0044158A" w:rsidRPr="00B24CA7" w:rsidRDefault="0044158A" w:rsidP="00EF1C5D">
            <w:pPr>
              <w:pStyle w:val="TableParagraph"/>
              <w:ind w:left="143" w:right="78"/>
              <w:rPr>
                <w:sz w:val="24"/>
                <w:szCs w:val="24"/>
              </w:rPr>
            </w:pPr>
            <w:r w:rsidRPr="089C44C7">
              <w:rPr>
                <w:sz w:val="24"/>
                <w:szCs w:val="24"/>
              </w:rPr>
              <w:t xml:space="preserve">Minimum 4 written quotes or  </w:t>
            </w:r>
          </w:p>
          <w:p w14:paraId="0D752C9F" w14:textId="77777777" w:rsidR="0044158A" w:rsidRPr="00B24CA7" w:rsidRDefault="0044158A" w:rsidP="00EF1C5D">
            <w:pPr>
              <w:pStyle w:val="TableParagraph"/>
              <w:ind w:left="143" w:right="78"/>
              <w:rPr>
                <w:sz w:val="24"/>
                <w:szCs w:val="24"/>
              </w:rPr>
            </w:pPr>
          </w:p>
          <w:p w14:paraId="633D9871" w14:textId="77777777" w:rsidR="0044158A" w:rsidRPr="00B24CA7" w:rsidRDefault="0044158A" w:rsidP="00EF1C5D">
            <w:pPr>
              <w:pStyle w:val="TableParagraph"/>
              <w:ind w:left="143" w:right="78"/>
              <w:rPr>
                <w:sz w:val="24"/>
                <w:szCs w:val="24"/>
              </w:rPr>
            </w:pPr>
            <w:r w:rsidRPr="00B24CA7">
              <w:rPr>
                <w:sz w:val="24"/>
                <w:szCs w:val="24"/>
              </w:rPr>
              <w:t>Use of an approved Framework</w:t>
            </w:r>
          </w:p>
          <w:p w14:paraId="4D0E083B" w14:textId="77777777" w:rsidR="0044158A" w:rsidRPr="00B24CA7" w:rsidRDefault="0044158A" w:rsidP="00EF1C5D">
            <w:pPr>
              <w:pStyle w:val="TableParagraph"/>
              <w:ind w:left="143" w:right="78"/>
              <w:rPr>
                <w:sz w:val="24"/>
                <w:szCs w:val="24"/>
              </w:rPr>
            </w:pPr>
          </w:p>
          <w:p w14:paraId="2E5EAFD4" w14:textId="77777777" w:rsidR="0044158A" w:rsidRPr="00B24CA7" w:rsidRDefault="0044158A" w:rsidP="00EF1C5D">
            <w:pPr>
              <w:pStyle w:val="TableParagraph"/>
              <w:ind w:left="143" w:right="78"/>
              <w:rPr>
                <w:sz w:val="24"/>
                <w:szCs w:val="24"/>
              </w:rPr>
            </w:pPr>
            <w:r w:rsidRPr="00B24CA7">
              <w:rPr>
                <w:sz w:val="24"/>
                <w:szCs w:val="24"/>
              </w:rPr>
              <w:t xml:space="preserve">A full tender process recommended as best practice. </w:t>
            </w:r>
          </w:p>
          <w:p w14:paraId="018C1D2E" w14:textId="77777777" w:rsidR="0044158A" w:rsidRPr="00B24CA7" w:rsidRDefault="0044158A" w:rsidP="00EF1C5D">
            <w:pPr>
              <w:pStyle w:val="TableParagraph"/>
              <w:ind w:left="0" w:right="78"/>
              <w:rPr>
                <w:sz w:val="24"/>
                <w:szCs w:val="24"/>
              </w:rPr>
            </w:pPr>
          </w:p>
        </w:tc>
        <w:tc>
          <w:tcPr>
            <w:tcW w:w="2693" w:type="dxa"/>
            <w:vMerge w:val="restart"/>
          </w:tcPr>
          <w:p w14:paraId="774813EC" w14:textId="77777777" w:rsidR="0044158A" w:rsidRPr="00B24CA7" w:rsidRDefault="0044158A" w:rsidP="00EF1C5D">
            <w:pPr>
              <w:pStyle w:val="TableParagraph"/>
              <w:ind w:left="141" w:right="104"/>
              <w:rPr>
                <w:sz w:val="24"/>
                <w:szCs w:val="24"/>
              </w:rPr>
            </w:pPr>
            <w:r w:rsidRPr="4D93267A">
              <w:rPr>
                <w:sz w:val="24"/>
                <w:szCs w:val="24"/>
              </w:rPr>
              <w:t xml:space="preserve">Officer authorised by the relevant Service Director </w:t>
            </w:r>
            <w:r>
              <w:rPr>
                <w:sz w:val="24"/>
                <w:szCs w:val="24"/>
              </w:rPr>
              <w:t>with the Procurement Team taking the lead</w:t>
            </w:r>
          </w:p>
          <w:p w14:paraId="23313701" w14:textId="77777777" w:rsidR="0044158A" w:rsidRPr="00B24CA7" w:rsidRDefault="0044158A" w:rsidP="00EF1C5D">
            <w:pPr>
              <w:pStyle w:val="TableParagraph"/>
              <w:ind w:left="141" w:right="104"/>
              <w:rPr>
                <w:sz w:val="24"/>
                <w:szCs w:val="24"/>
              </w:rPr>
            </w:pPr>
          </w:p>
        </w:tc>
      </w:tr>
      <w:tr w:rsidR="0044158A" w:rsidRPr="00B24CA7" w14:paraId="6E44604D" w14:textId="77777777" w:rsidTr="00EF1C5D">
        <w:trPr>
          <w:trHeight w:val="1499"/>
        </w:trPr>
        <w:tc>
          <w:tcPr>
            <w:tcW w:w="1838" w:type="dxa"/>
          </w:tcPr>
          <w:p w14:paraId="590D799A" w14:textId="77777777" w:rsidR="0044158A" w:rsidRPr="00B24CA7" w:rsidRDefault="0044158A" w:rsidP="00EF1C5D">
            <w:pPr>
              <w:pStyle w:val="TableParagraph"/>
              <w:spacing w:line="271" w:lineRule="exact"/>
              <w:ind w:left="143"/>
              <w:rPr>
                <w:sz w:val="24"/>
                <w:szCs w:val="24"/>
              </w:rPr>
            </w:pPr>
            <w:proofErr w:type="gramStart"/>
            <w:r w:rsidRPr="00B24CA7">
              <w:rPr>
                <w:sz w:val="24"/>
                <w:szCs w:val="24"/>
              </w:rPr>
              <w:lastRenderedPageBreak/>
              <w:t xml:space="preserve">Over </w:t>
            </w:r>
            <w:r>
              <w:rPr>
                <w:sz w:val="24"/>
                <w:szCs w:val="24"/>
              </w:rPr>
              <w:t xml:space="preserve"> public</w:t>
            </w:r>
            <w:proofErr w:type="gramEnd"/>
            <w:r>
              <w:rPr>
                <w:sz w:val="24"/>
                <w:szCs w:val="24"/>
              </w:rPr>
              <w:t xml:space="preserve"> procurement regulatory threshold</w:t>
            </w:r>
            <w:r w:rsidRPr="00B24CA7" w:rsidDel="009D4E80">
              <w:rPr>
                <w:sz w:val="24"/>
                <w:szCs w:val="24"/>
              </w:rPr>
              <w:t xml:space="preserve"> </w:t>
            </w:r>
          </w:p>
        </w:tc>
        <w:tc>
          <w:tcPr>
            <w:tcW w:w="1559" w:type="dxa"/>
          </w:tcPr>
          <w:p w14:paraId="74FEEB9F" w14:textId="77777777" w:rsidR="0044158A" w:rsidRPr="00B24CA7" w:rsidRDefault="0044158A" w:rsidP="00EF1C5D">
            <w:pPr>
              <w:pStyle w:val="TableParagraph"/>
              <w:spacing w:before="115"/>
              <w:ind w:right="104"/>
              <w:rPr>
                <w:sz w:val="24"/>
                <w:szCs w:val="24"/>
              </w:rPr>
            </w:pPr>
            <w:r w:rsidRPr="00B24CA7">
              <w:rPr>
                <w:sz w:val="24"/>
                <w:szCs w:val="24"/>
              </w:rPr>
              <w:t xml:space="preserve">Goods </w:t>
            </w:r>
          </w:p>
          <w:p w14:paraId="72A23B6E" w14:textId="77777777" w:rsidR="0044158A" w:rsidRPr="00B24CA7" w:rsidRDefault="0044158A" w:rsidP="00EF1C5D">
            <w:pPr>
              <w:pStyle w:val="TableParagraph"/>
              <w:spacing w:before="115"/>
              <w:ind w:right="104"/>
              <w:rPr>
                <w:sz w:val="24"/>
                <w:szCs w:val="24"/>
              </w:rPr>
            </w:pPr>
            <w:r w:rsidRPr="00B24CA7">
              <w:rPr>
                <w:sz w:val="24"/>
                <w:szCs w:val="24"/>
              </w:rPr>
              <w:t xml:space="preserve">Services </w:t>
            </w:r>
          </w:p>
        </w:tc>
        <w:tc>
          <w:tcPr>
            <w:tcW w:w="3544" w:type="dxa"/>
          </w:tcPr>
          <w:p w14:paraId="54CED0CA" w14:textId="77777777" w:rsidR="0044158A" w:rsidRPr="00B24CA7" w:rsidRDefault="0044158A" w:rsidP="00EF1C5D">
            <w:pPr>
              <w:pStyle w:val="TableParagraph"/>
              <w:ind w:left="143" w:right="78"/>
              <w:rPr>
                <w:sz w:val="24"/>
                <w:szCs w:val="24"/>
              </w:rPr>
            </w:pPr>
            <w:r w:rsidRPr="089C44C7">
              <w:rPr>
                <w:sz w:val="24"/>
                <w:szCs w:val="24"/>
              </w:rPr>
              <w:t>Tender process in compliance with legal requirements undertaken via the Procurement Portal or</w:t>
            </w:r>
          </w:p>
          <w:p w14:paraId="1D2CA988" w14:textId="77777777" w:rsidR="0044158A" w:rsidRPr="00B24CA7" w:rsidRDefault="0044158A" w:rsidP="00EF1C5D">
            <w:pPr>
              <w:pStyle w:val="TableParagraph"/>
              <w:ind w:left="143" w:right="78"/>
              <w:rPr>
                <w:sz w:val="24"/>
                <w:szCs w:val="24"/>
              </w:rPr>
            </w:pPr>
          </w:p>
          <w:p w14:paraId="55707935" w14:textId="77777777" w:rsidR="0044158A" w:rsidRPr="00B24CA7" w:rsidRDefault="0044158A" w:rsidP="00EF1C5D">
            <w:pPr>
              <w:pStyle w:val="TableParagraph"/>
              <w:ind w:left="143" w:right="78"/>
              <w:rPr>
                <w:sz w:val="24"/>
                <w:szCs w:val="24"/>
              </w:rPr>
            </w:pPr>
            <w:r w:rsidRPr="00B24CA7">
              <w:rPr>
                <w:sz w:val="24"/>
                <w:szCs w:val="24"/>
              </w:rPr>
              <w:t xml:space="preserve">Use of an approved legally compliant Framework or Dynamic Market </w:t>
            </w:r>
          </w:p>
        </w:tc>
        <w:tc>
          <w:tcPr>
            <w:tcW w:w="2693" w:type="dxa"/>
            <w:vMerge/>
          </w:tcPr>
          <w:p w14:paraId="56E6C5F0" w14:textId="77777777" w:rsidR="0044158A" w:rsidRPr="00B24CA7" w:rsidRDefault="0044158A" w:rsidP="00EF1C5D">
            <w:pPr>
              <w:pStyle w:val="TableParagraph"/>
              <w:ind w:left="141" w:right="104"/>
              <w:rPr>
                <w:sz w:val="24"/>
                <w:szCs w:val="24"/>
              </w:rPr>
            </w:pPr>
          </w:p>
        </w:tc>
      </w:tr>
      <w:tr w:rsidR="0044158A" w:rsidRPr="00B24CA7" w14:paraId="31ED6DC8" w14:textId="77777777" w:rsidTr="00EF1C5D">
        <w:trPr>
          <w:trHeight w:val="1499"/>
        </w:trPr>
        <w:tc>
          <w:tcPr>
            <w:tcW w:w="1838" w:type="dxa"/>
          </w:tcPr>
          <w:p w14:paraId="502F5B30" w14:textId="77777777" w:rsidR="0044158A" w:rsidRPr="00B24CA7" w:rsidRDefault="0044158A" w:rsidP="00EF1C5D">
            <w:pPr>
              <w:pStyle w:val="TableParagraph"/>
              <w:spacing w:line="271" w:lineRule="exact"/>
              <w:ind w:left="143"/>
              <w:rPr>
                <w:sz w:val="24"/>
                <w:szCs w:val="24"/>
              </w:rPr>
            </w:pPr>
            <w:r w:rsidRPr="00B24CA7">
              <w:rPr>
                <w:sz w:val="24"/>
                <w:szCs w:val="24"/>
              </w:rPr>
              <w:t xml:space="preserve">£1M </w:t>
            </w:r>
            <w:r>
              <w:rPr>
                <w:sz w:val="24"/>
                <w:szCs w:val="24"/>
              </w:rPr>
              <w:t xml:space="preserve">and </w:t>
            </w:r>
            <w:proofErr w:type="gramStart"/>
            <w:r>
              <w:rPr>
                <w:sz w:val="24"/>
                <w:szCs w:val="24"/>
              </w:rPr>
              <w:t xml:space="preserve">over </w:t>
            </w:r>
            <w:r w:rsidRPr="00B24CA7">
              <w:rPr>
                <w:sz w:val="24"/>
                <w:szCs w:val="24"/>
              </w:rPr>
              <w:t xml:space="preserve"> up</w:t>
            </w:r>
            <w:proofErr w:type="gramEnd"/>
            <w:r w:rsidRPr="00B24CA7">
              <w:rPr>
                <w:sz w:val="24"/>
                <w:szCs w:val="24"/>
              </w:rPr>
              <w:t xml:space="preserve"> to </w:t>
            </w:r>
            <w:r>
              <w:rPr>
                <w:sz w:val="24"/>
                <w:szCs w:val="24"/>
              </w:rPr>
              <w:t xml:space="preserve"> public procurement regulatory threshold</w:t>
            </w:r>
            <w:r w:rsidRPr="00B24CA7" w:rsidDel="00910E84">
              <w:rPr>
                <w:sz w:val="24"/>
                <w:szCs w:val="24"/>
              </w:rPr>
              <w:t xml:space="preserve"> </w:t>
            </w:r>
          </w:p>
        </w:tc>
        <w:tc>
          <w:tcPr>
            <w:tcW w:w="1559" w:type="dxa"/>
          </w:tcPr>
          <w:p w14:paraId="43CA2BF6" w14:textId="77777777" w:rsidR="0044158A" w:rsidRPr="00B24CA7" w:rsidRDefault="0044158A" w:rsidP="00EF1C5D">
            <w:pPr>
              <w:pStyle w:val="TableParagraph"/>
              <w:spacing w:before="115"/>
              <w:ind w:right="104"/>
              <w:rPr>
                <w:sz w:val="24"/>
                <w:szCs w:val="24"/>
              </w:rPr>
            </w:pPr>
            <w:r w:rsidRPr="00B24CA7">
              <w:rPr>
                <w:sz w:val="24"/>
                <w:szCs w:val="24"/>
              </w:rPr>
              <w:t xml:space="preserve">Works </w:t>
            </w:r>
          </w:p>
          <w:p w14:paraId="3E0548F2" w14:textId="77777777" w:rsidR="0044158A" w:rsidRPr="00B24CA7" w:rsidRDefault="0044158A" w:rsidP="00EF1C5D">
            <w:pPr>
              <w:pStyle w:val="TableParagraph"/>
              <w:spacing w:before="115"/>
              <w:ind w:right="104"/>
              <w:rPr>
                <w:sz w:val="24"/>
                <w:szCs w:val="24"/>
              </w:rPr>
            </w:pPr>
            <w:r w:rsidRPr="00B24CA7">
              <w:rPr>
                <w:sz w:val="24"/>
                <w:szCs w:val="24"/>
              </w:rPr>
              <w:t xml:space="preserve">Concession </w:t>
            </w:r>
          </w:p>
        </w:tc>
        <w:tc>
          <w:tcPr>
            <w:tcW w:w="3544" w:type="dxa"/>
          </w:tcPr>
          <w:p w14:paraId="6BCC37D0" w14:textId="77777777" w:rsidR="0044158A" w:rsidRPr="00B24CA7" w:rsidRDefault="0044158A" w:rsidP="00EF1C5D">
            <w:pPr>
              <w:pStyle w:val="TableParagraph"/>
              <w:ind w:left="143" w:right="78"/>
              <w:rPr>
                <w:sz w:val="24"/>
                <w:szCs w:val="24"/>
              </w:rPr>
            </w:pPr>
            <w:r w:rsidRPr="089C44C7">
              <w:rPr>
                <w:sz w:val="24"/>
                <w:szCs w:val="24"/>
              </w:rPr>
              <w:t>Minimum 6 written quotes. A full tender process recommended as best practice or</w:t>
            </w:r>
          </w:p>
          <w:p w14:paraId="148626D8" w14:textId="77777777" w:rsidR="0044158A" w:rsidRPr="00B24CA7" w:rsidRDefault="0044158A" w:rsidP="00EF1C5D">
            <w:pPr>
              <w:pStyle w:val="TableParagraph"/>
              <w:ind w:left="143" w:right="78"/>
              <w:rPr>
                <w:sz w:val="24"/>
                <w:szCs w:val="24"/>
              </w:rPr>
            </w:pPr>
            <w:r w:rsidRPr="00B24CA7">
              <w:rPr>
                <w:sz w:val="24"/>
                <w:szCs w:val="24"/>
              </w:rPr>
              <w:t xml:space="preserve">Use of an approved legally compliant Framework or Dynamic Market </w:t>
            </w:r>
          </w:p>
        </w:tc>
        <w:tc>
          <w:tcPr>
            <w:tcW w:w="2693" w:type="dxa"/>
            <w:vMerge w:val="restart"/>
          </w:tcPr>
          <w:p w14:paraId="798CDEBE" w14:textId="77777777" w:rsidR="0044158A" w:rsidRPr="00B24CA7" w:rsidRDefault="0044158A" w:rsidP="00EF1C5D">
            <w:pPr>
              <w:pStyle w:val="TableParagraph"/>
              <w:ind w:left="141" w:right="104"/>
              <w:rPr>
                <w:sz w:val="24"/>
                <w:szCs w:val="24"/>
              </w:rPr>
            </w:pPr>
            <w:r w:rsidRPr="4D93267A">
              <w:rPr>
                <w:sz w:val="24"/>
                <w:szCs w:val="24"/>
              </w:rPr>
              <w:t xml:space="preserve">Officer authorised by the relevant Service Director </w:t>
            </w:r>
            <w:r>
              <w:rPr>
                <w:sz w:val="24"/>
                <w:szCs w:val="24"/>
              </w:rPr>
              <w:t>with the Procurement Team taking the lead</w:t>
            </w:r>
          </w:p>
          <w:p w14:paraId="2C4A1AA8" w14:textId="77777777" w:rsidR="0044158A" w:rsidRPr="00B24CA7" w:rsidRDefault="0044158A" w:rsidP="00EF1C5D">
            <w:pPr>
              <w:pStyle w:val="TableParagraph"/>
              <w:ind w:left="141" w:right="104"/>
              <w:rPr>
                <w:sz w:val="24"/>
                <w:szCs w:val="24"/>
              </w:rPr>
            </w:pPr>
          </w:p>
        </w:tc>
      </w:tr>
      <w:tr w:rsidR="0044158A" w:rsidRPr="00B24CA7" w14:paraId="496E87DF" w14:textId="77777777" w:rsidTr="00EF1C5D">
        <w:trPr>
          <w:trHeight w:val="416"/>
        </w:trPr>
        <w:tc>
          <w:tcPr>
            <w:tcW w:w="1838" w:type="dxa"/>
          </w:tcPr>
          <w:p w14:paraId="7C9967D2" w14:textId="77777777" w:rsidR="0044158A" w:rsidRPr="00B24CA7" w:rsidRDefault="0044158A" w:rsidP="00EF1C5D">
            <w:pPr>
              <w:pStyle w:val="TableParagraph"/>
              <w:spacing w:line="271" w:lineRule="exact"/>
              <w:ind w:left="143"/>
              <w:rPr>
                <w:sz w:val="24"/>
                <w:szCs w:val="24"/>
              </w:rPr>
            </w:pPr>
            <w:proofErr w:type="gramStart"/>
            <w:r w:rsidRPr="00B24CA7">
              <w:rPr>
                <w:sz w:val="24"/>
                <w:szCs w:val="24"/>
              </w:rPr>
              <w:t xml:space="preserve">Over </w:t>
            </w:r>
            <w:r>
              <w:rPr>
                <w:sz w:val="24"/>
                <w:szCs w:val="24"/>
              </w:rPr>
              <w:t xml:space="preserve"> public</w:t>
            </w:r>
            <w:proofErr w:type="gramEnd"/>
            <w:r>
              <w:rPr>
                <w:sz w:val="24"/>
                <w:szCs w:val="24"/>
              </w:rPr>
              <w:t xml:space="preserve"> procurement regulatory threshold</w:t>
            </w:r>
          </w:p>
        </w:tc>
        <w:tc>
          <w:tcPr>
            <w:tcW w:w="1559" w:type="dxa"/>
          </w:tcPr>
          <w:p w14:paraId="2430DF26" w14:textId="77777777" w:rsidR="0044158A" w:rsidRPr="00B24CA7" w:rsidRDefault="0044158A" w:rsidP="00EF1C5D">
            <w:pPr>
              <w:pStyle w:val="TableParagraph"/>
              <w:spacing w:before="115"/>
              <w:ind w:right="104"/>
              <w:rPr>
                <w:sz w:val="24"/>
                <w:szCs w:val="24"/>
              </w:rPr>
            </w:pPr>
            <w:r w:rsidRPr="00B24CA7">
              <w:rPr>
                <w:sz w:val="24"/>
                <w:szCs w:val="24"/>
              </w:rPr>
              <w:t xml:space="preserve"> </w:t>
            </w:r>
          </w:p>
          <w:p w14:paraId="01ED7206" w14:textId="77777777" w:rsidR="0044158A" w:rsidRPr="00B24CA7" w:rsidRDefault="0044158A" w:rsidP="00EF1C5D">
            <w:pPr>
              <w:pStyle w:val="TableParagraph"/>
              <w:spacing w:before="115"/>
              <w:ind w:right="104"/>
              <w:rPr>
                <w:sz w:val="24"/>
                <w:szCs w:val="24"/>
              </w:rPr>
            </w:pPr>
            <w:r w:rsidRPr="00B24CA7">
              <w:rPr>
                <w:sz w:val="24"/>
                <w:szCs w:val="24"/>
              </w:rPr>
              <w:t xml:space="preserve">Works </w:t>
            </w:r>
          </w:p>
          <w:p w14:paraId="0D3C1305" w14:textId="77777777" w:rsidR="0044158A" w:rsidRPr="00B24CA7" w:rsidRDefault="0044158A" w:rsidP="00EF1C5D">
            <w:pPr>
              <w:pStyle w:val="TableParagraph"/>
              <w:spacing w:before="115"/>
              <w:ind w:right="104"/>
              <w:rPr>
                <w:sz w:val="24"/>
                <w:szCs w:val="24"/>
              </w:rPr>
            </w:pPr>
            <w:r w:rsidRPr="00B24CA7">
              <w:rPr>
                <w:sz w:val="24"/>
                <w:szCs w:val="24"/>
              </w:rPr>
              <w:t>Concession</w:t>
            </w:r>
          </w:p>
        </w:tc>
        <w:tc>
          <w:tcPr>
            <w:tcW w:w="3544" w:type="dxa"/>
          </w:tcPr>
          <w:p w14:paraId="54B25B31" w14:textId="77777777" w:rsidR="0044158A" w:rsidRPr="00B24CA7" w:rsidRDefault="0044158A" w:rsidP="00EF1C5D">
            <w:pPr>
              <w:pStyle w:val="TableParagraph"/>
              <w:ind w:left="143" w:right="78"/>
              <w:rPr>
                <w:sz w:val="24"/>
                <w:szCs w:val="24"/>
              </w:rPr>
            </w:pPr>
            <w:r w:rsidRPr="089C44C7">
              <w:rPr>
                <w:sz w:val="24"/>
                <w:szCs w:val="24"/>
              </w:rPr>
              <w:t xml:space="preserve">Tender process in compliance with legal requirements undertaken via the Procurement Portal or </w:t>
            </w:r>
          </w:p>
          <w:p w14:paraId="5961565C" w14:textId="77777777" w:rsidR="0044158A" w:rsidRPr="00B24CA7" w:rsidRDefault="0044158A" w:rsidP="00EF1C5D">
            <w:pPr>
              <w:pStyle w:val="TableParagraph"/>
              <w:ind w:left="143" w:right="78"/>
              <w:rPr>
                <w:sz w:val="24"/>
                <w:szCs w:val="24"/>
              </w:rPr>
            </w:pPr>
          </w:p>
          <w:p w14:paraId="063AE3BD" w14:textId="77777777" w:rsidR="0044158A" w:rsidRPr="00B24CA7" w:rsidRDefault="0044158A" w:rsidP="00EF1C5D">
            <w:pPr>
              <w:pStyle w:val="TableParagraph"/>
              <w:ind w:left="143" w:right="78"/>
              <w:rPr>
                <w:sz w:val="24"/>
                <w:szCs w:val="24"/>
              </w:rPr>
            </w:pPr>
            <w:r w:rsidRPr="00B24CA7">
              <w:rPr>
                <w:sz w:val="24"/>
                <w:szCs w:val="24"/>
              </w:rPr>
              <w:t xml:space="preserve">Use of an approved legally compliant Framework or Dynamic Market </w:t>
            </w:r>
          </w:p>
        </w:tc>
        <w:tc>
          <w:tcPr>
            <w:tcW w:w="2693" w:type="dxa"/>
            <w:vMerge/>
          </w:tcPr>
          <w:p w14:paraId="1C3F74BF" w14:textId="77777777" w:rsidR="0044158A" w:rsidRPr="00B24CA7" w:rsidRDefault="0044158A" w:rsidP="00EF1C5D">
            <w:pPr>
              <w:pStyle w:val="TableParagraph"/>
              <w:ind w:left="141" w:right="104"/>
              <w:rPr>
                <w:sz w:val="24"/>
                <w:szCs w:val="24"/>
              </w:rPr>
            </w:pPr>
          </w:p>
        </w:tc>
      </w:tr>
    </w:tbl>
    <w:p w14:paraId="0B907070" w14:textId="77777777" w:rsidR="00174C6E" w:rsidRDefault="00174C6E" w:rsidP="008A22C6"/>
    <w:p w14:paraId="7FF8FBE2" w14:textId="77777777" w:rsidR="00174C6E" w:rsidRDefault="00174C6E" w:rsidP="008A22C6"/>
    <w:p w14:paraId="7FD6C6FA" w14:textId="77777777" w:rsidR="00174C6E" w:rsidRDefault="00174C6E" w:rsidP="008A22C6"/>
    <w:p w14:paraId="242A0583" w14:textId="77777777" w:rsidR="00174C6E" w:rsidRDefault="00174C6E" w:rsidP="008A22C6"/>
    <w:p w14:paraId="6AB60DD7" w14:textId="77777777" w:rsidR="00174C6E" w:rsidRDefault="00174C6E" w:rsidP="008A22C6"/>
    <w:p w14:paraId="14C6B0B8" w14:textId="77777777" w:rsidR="00174C6E" w:rsidRDefault="00174C6E" w:rsidP="008A22C6"/>
    <w:p w14:paraId="43C0F171" w14:textId="77777777" w:rsidR="00174C6E" w:rsidRDefault="00174C6E" w:rsidP="008A22C6"/>
    <w:p w14:paraId="55FDC7C6" w14:textId="77777777" w:rsidR="00174C6E" w:rsidRDefault="00174C6E" w:rsidP="008A22C6"/>
    <w:p w14:paraId="2230AB1F" w14:textId="77777777" w:rsidR="00174C6E" w:rsidRDefault="00174C6E" w:rsidP="008A22C6"/>
    <w:p w14:paraId="6031D15D" w14:textId="77777777" w:rsidR="00174C6E" w:rsidRDefault="00174C6E" w:rsidP="008A22C6"/>
    <w:p w14:paraId="2D591031" w14:textId="77777777" w:rsidR="00174C6E" w:rsidRDefault="00174C6E" w:rsidP="008A22C6"/>
    <w:p w14:paraId="3AE0D4E0" w14:textId="77777777" w:rsidR="00174C6E" w:rsidRDefault="00174C6E" w:rsidP="008A22C6"/>
    <w:p w14:paraId="3EBF469B" w14:textId="77777777" w:rsidR="00174C6E" w:rsidRDefault="00174C6E" w:rsidP="008A22C6"/>
    <w:p w14:paraId="0627474F" w14:textId="77777777" w:rsidR="00174C6E" w:rsidRDefault="00174C6E" w:rsidP="008A22C6"/>
    <w:p w14:paraId="659BA6EE" w14:textId="77777777" w:rsidR="00174C6E" w:rsidRDefault="00174C6E" w:rsidP="008A22C6"/>
    <w:p w14:paraId="3D947D4C" w14:textId="77777777" w:rsidR="00174C6E" w:rsidRDefault="00174C6E" w:rsidP="008A22C6"/>
    <w:p w14:paraId="45D13E5E" w14:textId="77777777" w:rsidR="00174C6E" w:rsidRDefault="00174C6E" w:rsidP="008A22C6"/>
    <w:p w14:paraId="0179BD1A" w14:textId="77777777" w:rsidR="00174C6E" w:rsidRDefault="00174C6E" w:rsidP="008A22C6"/>
    <w:p w14:paraId="754CF0BB" w14:textId="77777777" w:rsidR="00174C6E" w:rsidRDefault="00174C6E" w:rsidP="008A22C6"/>
    <w:p w14:paraId="026DBCD2" w14:textId="77777777" w:rsidR="00174C6E" w:rsidRDefault="00174C6E" w:rsidP="008A22C6"/>
    <w:p w14:paraId="35FA297E" w14:textId="77777777" w:rsidR="00174C6E" w:rsidRDefault="00174C6E" w:rsidP="008A22C6"/>
    <w:p w14:paraId="55306C4A" w14:textId="77777777" w:rsidR="00174C6E" w:rsidRDefault="00174C6E" w:rsidP="008A22C6"/>
    <w:p w14:paraId="3B1E1A22" w14:textId="77777777" w:rsidR="00174C6E" w:rsidRDefault="00174C6E" w:rsidP="008A22C6"/>
    <w:p w14:paraId="2351095F" w14:textId="77777777" w:rsidR="00174C6E" w:rsidRDefault="00174C6E" w:rsidP="008A22C6"/>
    <w:p w14:paraId="3DBCA5E7" w14:textId="77777777" w:rsidR="00174C6E" w:rsidRDefault="00174C6E" w:rsidP="008A22C6"/>
    <w:p w14:paraId="6173A6F9" w14:textId="6F3E9DE7" w:rsidR="00174C6E" w:rsidRDefault="00174C6E" w:rsidP="008A22C6">
      <w:r>
        <w:t>Changes to table at 19.17:</w:t>
      </w:r>
    </w:p>
    <w:p w14:paraId="3DDC305D" w14:textId="77777777" w:rsidR="00174C6E" w:rsidRDefault="00174C6E" w:rsidP="008A22C6"/>
    <w:tbl>
      <w:tblPr>
        <w:tblW w:w="7514" w:type="dxa"/>
        <w:jc w:val="center"/>
        <w:tblLook w:val="04A0" w:firstRow="1" w:lastRow="0" w:firstColumn="1" w:lastColumn="0" w:noHBand="0" w:noVBand="1"/>
      </w:tblPr>
      <w:tblGrid>
        <w:gridCol w:w="2575"/>
        <w:gridCol w:w="4939"/>
      </w:tblGrid>
      <w:tr w:rsidR="00174C6E" w:rsidRPr="00B24CA7" w14:paraId="6A00F48D" w14:textId="77777777" w:rsidTr="00EF1C5D">
        <w:trPr>
          <w:trHeight w:val="300"/>
          <w:jc w:val="center"/>
        </w:trPr>
        <w:tc>
          <w:tcPr>
            <w:tcW w:w="2575" w:type="dxa"/>
            <w:tcBorders>
              <w:top w:val="single" w:sz="8" w:space="0" w:color="auto"/>
              <w:left w:val="single" w:sz="8" w:space="0" w:color="auto"/>
              <w:bottom w:val="single" w:sz="8" w:space="0" w:color="auto"/>
              <w:right w:val="single" w:sz="8" w:space="0" w:color="auto"/>
            </w:tcBorders>
            <w:hideMark/>
          </w:tcPr>
          <w:p w14:paraId="18E8328A" w14:textId="77777777" w:rsidR="00174C6E" w:rsidRPr="00B24CA7" w:rsidRDefault="00174C6E" w:rsidP="00EF1C5D">
            <w:pPr>
              <w:rPr>
                <w:rFonts w:eastAsia="Times New Roman"/>
                <w:b/>
                <w:bCs/>
                <w:color w:val="000000"/>
              </w:rPr>
            </w:pPr>
            <w:r w:rsidRPr="00B24CA7">
              <w:rPr>
                <w:rFonts w:eastAsia="Times New Roman"/>
                <w:b/>
                <w:bCs/>
                <w:color w:val="000000"/>
              </w:rPr>
              <w:t xml:space="preserve">Contract Value </w:t>
            </w:r>
          </w:p>
          <w:p w14:paraId="1EE79D4B" w14:textId="77777777" w:rsidR="00174C6E" w:rsidRPr="00B24CA7" w:rsidRDefault="00174C6E" w:rsidP="00EF1C5D">
            <w:pPr>
              <w:rPr>
                <w:rFonts w:eastAsia="Times New Roman"/>
                <w:b/>
                <w:bCs/>
                <w:color w:val="000000"/>
              </w:rPr>
            </w:pPr>
            <w:r w:rsidRPr="00B24CA7">
              <w:rPr>
                <w:rFonts w:eastAsia="Times New Roman"/>
                <w:b/>
                <w:bCs/>
                <w:color w:val="000000"/>
              </w:rPr>
              <w:t>Including VAT</w:t>
            </w:r>
          </w:p>
        </w:tc>
        <w:tc>
          <w:tcPr>
            <w:tcW w:w="4939" w:type="dxa"/>
            <w:tcBorders>
              <w:top w:val="single" w:sz="8" w:space="0" w:color="auto"/>
              <w:left w:val="nil"/>
              <w:bottom w:val="single" w:sz="8" w:space="0" w:color="auto"/>
              <w:right w:val="single" w:sz="8" w:space="0" w:color="auto"/>
            </w:tcBorders>
            <w:hideMark/>
          </w:tcPr>
          <w:p w14:paraId="368A12D3" w14:textId="77777777" w:rsidR="00174C6E" w:rsidRPr="00B24CA7" w:rsidRDefault="00174C6E" w:rsidP="00EF1C5D">
            <w:pPr>
              <w:rPr>
                <w:rFonts w:eastAsia="Times New Roman"/>
                <w:b/>
                <w:bCs/>
                <w:color w:val="000000"/>
              </w:rPr>
            </w:pPr>
            <w:r w:rsidRPr="00B24CA7">
              <w:rPr>
                <w:rFonts w:eastAsia="Times New Roman"/>
                <w:b/>
                <w:bCs/>
                <w:color w:val="000000" w:themeColor="text1"/>
              </w:rPr>
              <w:t xml:space="preserve"> Who may take the decision to award</w:t>
            </w:r>
          </w:p>
        </w:tc>
      </w:tr>
      <w:tr w:rsidR="00174C6E" w:rsidRPr="00B24CA7" w14:paraId="428C7259" w14:textId="77777777" w:rsidTr="00EF1C5D">
        <w:trPr>
          <w:trHeight w:val="1120"/>
          <w:jc w:val="center"/>
        </w:trPr>
        <w:tc>
          <w:tcPr>
            <w:tcW w:w="2575" w:type="dxa"/>
            <w:tcBorders>
              <w:top w:val="nil"/>
              <w:left w:val="single" w:sz="4" w:space="0" w:color="auto"/>
              <w:bottom w:val="single" w:sz="4" w:space="0" w:color="auto"/>
              <w:right w:val="single" w:sz="4" w:space="0" w:color="auto"/>
            </w:tcBorders>
            <w:hideMark/>
          </w:tcPr>
          <w:p w14:paraId="41B2C580" w14:textId="77777777" w:rsidR="00174C6E" w:rsidRPr="00B24CA7" w:rsidRDefault="00174C6E" w:rsidP="00EF1C5D">
            <w:pPr>
              <w:rPr>
                <w:rFonts w:eastAsia="Times New Roman"/>
                <w:color w:val="242424"/>
              </w:rPr>
            </w:pPr>
            <w:r w:rsidRPr="00B24CA7">
              <w:rPr>
                <w:rFonts w:eastAsia="Times New Roman"/>
                <w:color w:val="242424"/>
              </w:rPr>
              <w:lastRenderedPageBreak/>
              <w:t xml:space="preserve">£0 </w:t>
            </w:r>
            <w:r>
              <w:rPr>
                <w:rFonts w:eastAsia="Times New Roman"/>
                <w:color w:val="242424"/>
              </w:rPr>
              <w:t>–</w:t>
            </w:r>
            <w:r w:rsidRPr="00B24CA7">
              <w:rPr>
                <w:rFonts w:eastAsia="Times New Roman"/>
                <w:color w:val="242424"/>
              </w:rPr>
              <w:t xml:space="preserve"> </w:t>
            </w:r>
            <w:r>
              <w:rPr>
                <w:rFonts w:eastAsia="Times New Roman"/>
                <w:color w:val="242424"/>
              </w:rPr>
              <w:t xml:space="preserve">up to </w:t>
            </w:r>
            <w:r>
              <w:t>public procurement regulatory threshold</w:t>
            </w:r>
          </w:p>
        </w:tc>
        <w:tc>
          <w:tcPr>
            <w:tcW w:w="4939" w:type="dxa"/>
            <w:tcBorders>
              <w:top w:val="nil"/>
              <w:left w:val="nil"/>
              <w:bottom w:val="single" w:sz="4" w:space="0" w:color="auto"/>
              <w:right w:val="single" w:sz="4" w:space="0" w:color="auto"/>
            </w:tcBorders>
            <w:hideMark/>
          </w:tcPr>
          <w:p w14:paraId="024F9825" w14:textId="77777777" w:rsidR="00174C6E" w:rsidRPr="00B24CA7" w:rsidRDefault="00174C6E" w:rsidP="00EF1C5D">
            <w:pPr>
              <w:rPr>
                <w:rFonts w:eastAsia="Times New Roman"/>
                <w:color w:val="000000"/>
              </w:rPr>
            </w:pPr>
            <w:r w:rsidRPr="4D93267A">
              <w:rPr>
                <w:rFonts w:eastAsia="Times New Roman"/>
                <w:color w:val="000000" w:themeColor="text1"/>
              </w:rPr>
              <w:t>Service Director or relevant officer authorised by Service Director.</w:t>
            </w:r>
          </w:p>
        </w:tc>
      </w:tr>
      <w:tr w:rsidR="00174C6E" w:rsidRPr="00B24CA7" w14:paraId="7731120D" w14:textId="77777777" w:rsidTr="00EF1C5D">
        <w:trPr>
          <w:trHeight w:val="276"/>
          <w:jc w:val="center"/>
        </w:trPr>
        <w:tc>
          <w:tcPr>
            <w:tcW w:w="2575" w:type="dxa"/>
            <w:vMerge w:val="restart"/>
            <w:tcBorders>
              <w:top w:val="single" w:sz="4" w:space="0" w:color="auto"/>
              <w:left w:val="single" w:sz="4" w:space="0" w:color="auto"/>
              <w:bottom w:val="single" w:sz="4" w:space="0" w:color="auto"/>
              <w:right w:val="single" w:sz="4" w:space="0" w:color="auto"/>
            </w:tcBorders>
            <w:hideMark/>
          </w:tcPr>
          <w:p w14:paraId="210B8EF0" w14:textId="77777777" w:rsidR="00174C6E" w:rsidRPr="00B24CA7" w:rsidRDefault="00174C6E" w:rsidP="00EF1C5D">
            <w:pPr>
              <w:rPr>
                <w:rFonts w:eastAsia="Times New Roman"/>
                <w:color w:val="000000"/>
              </w:rPr>
            </w:pPr>
            <w:r>
              <w:t>public procurement regulatory threshold</w:t>
            </w:r>
            <w:r w:rsidRPr="00B24CA7" w:rsidDel="00561BB6">
              <w:rPr>
                <w:rFonts w:eastAsia="Times New Roman"/>
                <w:color w:val="000000" w:themeColor="text1"/>
              </w:rPr>
              <w:t xml:space="preserve"> </w:t>
            </w:r>
            <w:r w:rsidRPr="00B24CA7">
              <w:rPr>
                <w:rFonts w:eastAsia="Times New Roman"/>
                <w:color w:val="000000" w:themeColor="text1"/>
              </w:rPr>
              <w:t xml:space="preserve">- up to Key Decision Threshold </w:t>
            </w:r>
          </w:p>
          <w:p w14:paraId="5377460F" w14:textId="77777777" w:rsidR="00174C6E" w:rsidRPr="00B24CA7" w:rsidRDefault="00174C6E" w:rsidP="00EF1C5D">
            <w:pPr>
              <w:rPr>
                <w:rFonts w:eastAsia="Times New Roman"/>
                <w:color w:val="000000" w:themeColor="text1"/>
              </w:rPr>
            </w:pPr>
          </w:p>
          <w:p w14:paraId="21C7821F" w14:textId="77777777" w:rsidR="00174C6E" w:rsidRPr="00B24CA7" w:rsidRDefault="00174C6E" w:rsidP="00EF1C5D">
            <w:pPr>
              <w:rPr>
                <w:rFonts w:eastAsia="Times New Roman"/>
                <w:color w:val="000000" w:themeColor="text1"/>
              </w:rPr>
            </w:pPr>
          </w:p>
          <w:p w14:paraId="7DD79C7A" w14:textId="77777777" w:rsidR="00174C6E" w:rsidRPr="00B24CA7" w:rsidRDefault="00174C6E" w:rsidP="00EF1C5D">
            <w:pPr>
              <w:rPr>
                <w:rFonts w:eastAsia="Times New Roman"/>
                <w:color w:val="000000" w:themeColor="text1"/>
              </w:rPr>
            </w:pPr>
          </w:p>
        </w:tc>
        <w:tc>
          <w:tcPr>
            <w:tcW w:w="4939" w:type="dxa"/>
            <w:vMerge w:val="restart"/>
            <w:tcBorders>
              <w:top w:val="single" w:sz="4" w:space="0" w:color="auto"/>
              <w:left w:val="single" w:sz="4" w:space="0" w:color="auto"/>
              <w:bottom w:val="single" w:sz="4" w:space="0" w:color="auto"/>
              <w:right w:val="single" w:sz="4" w:space="0" w:color="auto"/>
            </w:tcBorders>
            <w:hideMark/>
          </w:tcPr>
          <w:p w14:paraId="539ADD85" w14:textId="77777777" w:rsidR="00174C6E" w:rsidRPr="00B24CA7" w:rsidRDefault="00174C6E" w:rsidP="00EF1C5D">
            <w:pPr>
              <w:rPr>
                <w:rFonts w:eastAsia="Times New Roman"/>
                <w:color w:val="000000" w:themeColor="text1"/>
              </w:rPr>
            </w:pPr>
            <w:r w:rsidRPr="4D93267A">
              <w:rPr>
                <w:rFonts w:eastAsia="Times New Roman"/>
                <w:color w:val="000000" w:themeColor="text1"/>
              </w:rPr>
              <w:t>Group Finance Director or Deputy Chief Executive provided there is a budget and project approval has been given by OCB/Development Board, Corporate Leadership Team or Cabinet</w:t>
            </w:r>
            <w:r>
              <w:br/>
            </w:r>
          </w:p>
        </w:tc>
      </w:tr>
      <w:tr w:rsidR="00174C6E" w:rsidRPr="00B24CA7" w14:paraId="2B1B538F" w14:textId="77777777" w:rsidTr="00EF1C5D">
        <w:trPr>
          <w:trHeight w:val="300"/>
          <w:jc w:val="center"/>
        </w:trPr>
        <w:tc>
          <w:tcPr>
            <w:tcW w:w="2575" w:type="dxa"/>
            <w:vMerge/>
            <w:tcBorders>
              <w:left w:val="single" w:sz="4" w:space="0" w:color="auto"/>
              <w:right w:val="single" w:sz="4" w:space="0" w:color="auto"/>
            </w:tcBorders>
            <w:hideMark/>
          </w:tcPr>
          <w:p w14:paraId="308E7BA7" w14:textId="77777777" w:rsidR="00174C6E" w:rsidRPr="00B24CA7" w:rsidRDefault="00174C6E" w:rsidP="00EF1C5D"/>
        </w:tc>
        <w:tc>
          <w:tcPr>
            <w:tcW w:w="4939" w:type="dxa"/>
            <w:vMerge/>
            <w:tcBorders>
              <w:left w:val="single" w:sz="4" w:space="0" w:color="auto"/>
              <w:right w:val="single" w:sz="4" w:space="0" w:color="auto"/>
            </w:tcBorders>
            <w:hideMark/>
          </w:tcPr>
          <w:p w14:paraId="652A841E" w14:textId="77777777" w:rsidR="00174C6E" w:rsidRPr="00B24CA7" w:rsidRDefault="00174C6E" w:rsidP="00EF1C5D"/>
        </w:tc>
      </w:tr>
      <w:tr w:rsidR="00174C6E" w:rsidRPr="00B24CA7" w14:paraId="56CA8EA7" w14:textId="77777777" w:rsidTr="00EF1C5D">
        <w:trPr>
          <w:trHeight w:val="930"/>
          <w:jc w:val="center"/>
        </w:trPr>
        <w:tc>
          <w:tcPr>
            <w:tcW w:w="2575" w:type="dxa"/>
            <w:tcBorders>
              <w:left w:val="single" w:sz="4" w:space="0" w:color="auto"/>
              <w:bottom w:val="single" w:sz="4" w:space="0" w:color="auto"/>
              <w:right w:val="single" w:sz="4" w:space="0" w:color="auto"/>
            </w:tcBorders>
            <w:hideMark/>
          </w:tcPr>
          <w:p w14:paraId="52615490" w14:textId="77777777" w:rsidR="00174C6E" w:rsidRPr="00B24CA7" w:rsidRDefault="00174C6E" w:rsidP="00EF1C5D">
            <w:pPr>
              <w:rPr>
                <w:rFonts w:eastAsia="Times New Roman"/>
                <w:color w:val="000000"/>
              </w:rPr>
            </w:pPr>
            <w:r w:rsidRPr="00B24CA7">
              <w:rPr>
                <w:rFonts w:eastAsia="Times New Roman"/>
                <w:color w:val="000000" w:themeColor="text1"/>
              </w:rPr>
              <w:t>Over Key Decision Threshold</w:t>
            </w:r>
          </w:p>
        </w:tc>
        <w:tc>
          <w:tcPr>
            <w:tcW w:w="4939" w:type="dxa"/>
            <w:tcBorders>
              <w:left w:val="single" w:sz="4" w:space="0" w:color="auto"/>
              <w:bottom w:val="single" w:sz="4" w:space="0" w:color="auto"/>
              <w:right w:val="single" w:sz="4" w:space="0" w:color="auto"/>
            </w:tcBorders>
            <w:hideMark/>
          </w:tcPr>
          <w:p w14:paraId="7AF5FA51" w14:textId="77777777" w:rsidR="00174C6E" w:rsidRPr="00B24CA7" w:rsidRDefault="00174C6E" w:rsidP="00EF1C5D">
            <w:pPr>
              <w:rPr>
                <w:rFonts w:eastAsia="Times New Roman"/>
                <w:color w:val="000000" w:themeColor="text1"/>
              </w:rPr>
            </w:pPr>
            <w:r w:rsidRPr="00B24CA7">
              <w:rPr>
                <w:rFonts w:eastAsia="Times New Roman"/>
                <w:color w:val="000000" w:themeColor="text1"/>
              </w:rPr>
              <w:t xml:space="preserve">Cabinet </w:t>
            </w:r>
          </w:p>
          <w:p w14:paraId="4990E5BE" w14:textId="77777777" w:rsidR="00174C6E" w:rsidRPr="00B24CA7" w:rsidRDefault="00174C6E" w:rsidP="00EF1C5D">
            <w:pPr>
              <w:rPr>
                <w:rFonts w:eastAsia="Times New Roman"/>
                <w:color w:val="000000"/>
              </w:rPr>
            </w:pPr>
          </w:p>
        </w:tc>
      </w:tr>
    </w:tbl>
    <w:p w14:paraId="5C753E69" w14:textId="77777777" w:rsidR="00174C6E" w:rsidRPr="008A22C6" w:rsidRDefault="00174C6E" w:rsidP="008A22C6"/>
    <w:sectPr w:rsidR="00174C6E" w:rsidRPr="008A22C6" w:rsidSect="00F5352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325" w:hanging="425"/>
      </w:pPr>
      <w:rPr>
        <w:rFonts w:ascii="Symbol" w:hAnsi="Symbol" w:cs="Symbol"/>
        <w:b w:val="0"/>
        <w:bCs w:val="0"/>
        <w:w w:val="100"/>
        <w:sz w:val="24"/>
        <w:szCs w:val="24"/>
      </w:rPr>
    </w:lvl>
    <w:lvl w:ilvl="1">
      <w:numFmt w:val="bullet"/>
      <w:lvlText w:val="•"/>
      <w:lvlJc w:val="left"/>
      <w:pPr>
        <w:ind w:left="2074" w:hanging="425"/>
      </w:pPr>
    </w:lvl>
    <w:lvl w:ilvl="2">
      <w:numFmt w:val="bullet"/>
      <w:lvlText w:val="•"/>
      <w:lvlJc w:val="left"/>
      <w:pPr>
        <w:ind w:left="2829" w:hanging="425"/>
      </w:pPr>
    </w:lvl>
    <w:lvl w:ilvl="3">
      <w:numFmt w:val="bullet"/>
      <w:lvlText w:val="•"/>
      <w:lvlJc w:val="left"/>
      <w:pPr>
        <w:ind w:left="3583" w:hanging="425"/>
      </w:pPr>
    </w:lvl>
    <w:lvl w:ilvl="4">
      <w:numFmt w:val="bullet"/>
      <w:lvlText w:val="•"/>
      <w:lvlJc w:val="left"/>
      <w:pPr>
        <w:ind w:left="4338" w:hanging="425"/>
      </w:pPr>
    </w:lvl>
    <w:lvl w:ilvl="5">
      <w:numFmt w:val="bullet"/>
      <w:lvlText w:val="•"/>
      <w:lvlJc w:val="left"/>
      <w:pPr>
        <w:ind w:left="5093" w:hanging="425"/>
      </w:pPr>
    </w:lvl>
    <w:lvl w:ilvl="6">
      <w:numFmt w:val="bullet"/>
      <w:lvlText w:val="•"/>
      <w:lvlJc w:val="left"/>
      <w:pPr>
        <w:ind w:left="5847" w:hanging="425"/>
      </w:pPr>
    </w:lvl>
    <w:lvl w:ilvl="7">
      <w:numFmt w:val="bullet"/>
      <w:lvlText w:val="•"/>
      <w:lvlJc w:val="left"/>
      <w:pPr>
        <w:ind w:left="6602" w:hanging="425"/>
      </w:pPr>
    </w:lvl>
    <w:lvl w:ilvl="8">
      <w:numFmt w:val="bullet"/>
      <w:lvlText w:val="•"/>
      <w:lvlJc w:val="left"/>
      <w:pPr>
        <w:ind w:left="7357" w:hanging="425"/>
      </w:pPr>
    </w:lvl>
  </w:abstractNum>
  <w:abstractNum w:abstractNumId="1" w15:restartNumberingAfterBreak="0">
    <w:nsid w:val="006A0773"/>
    <w:multiLevelType w:val="hybridMultilevel"/>
    <w:tmpl w:val="DB86421C"/>
    <w:lvl w:ilvl="0" w:tplc="49943E00">
      <w:start w:val="1"/>
      <w:numFmt w:val="lowerLetter"/>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E191D"/>
    <w:multiLevelType w:val="multilevel"/>
    <w:tmpl w:val="35BA7486"/>
    <w:lvl w:ilvl="0">
      <w:start w:val="5"/>
      <w:numFmt w:val="decimal"/>
      <w:lvlText w:val="%1"/>
      <w:lvlJc w:val="left"/>
      <w:pPr>
        <w:ind w:left="809" w:hanging="708"/>
      </w:pPr>
      <w:rPr>
        <w:rFonts w:hint="default"/>
        <w:lang w:val="en-GB" w:eastAsia="en-GB" w:bidi="en-GB"/>
      </w:rPr>
    </w:lvl>
    <w:lvl w:ilvl="1">
      <w:start w:val="1"/>
      <w:numFmt w:val="decimal"/>
      <w:lvlText w:val="%1.%2"/>
      <w:lvlJc w:val="left"/>
      <w:pPr>
        <w:ind w:left="809" w:hanging="708"/>
      </w:pPr>
      <w:rPr>
        <w:rFonts w:ascii="Arial" w:eastAsia="Arial" w:hAnsi="Arial" w:cs="Arial" w:hint="default"/>
        <w:b/>
        <w:bCs/>
        <w:spacing w:val="-2"/>
        <w:w w:val="100"/>
        <w:sz w:val="24"/>
        <w:szCs w:val="24"/>
        <w:lang w:val="en-GB" w:eastAsia="en-GB" w:bidi="en-GB"/>
      </w:rPr>
    </w:lvl>
    <w:lvl w:ilvl="2">
      <w:start w:val="1"/>
      <w:numFmt w:val="lowerLetter"/>
      <w:lvlText w:val="(%3)"/>
      <w:lvlJc w:val="left"/>
      <w:pPr>
        <w:ind w:left="1234" w:hanging="425"/>
      </w:pPr>
      <w:rPr>
        <w:rFonts w:ascii="Arial" w:eastAsia="Arial" w:hAnsi="Arial" w:cs="Arial" w:hint="default"/>
        <w:spacing w:val="-3"/>
        <w:w w:val="100"/>
        <w:sz w:val="24"/>
        <w:szCs w:val="24"/>
        <w:lang w:val="en-GB" w:eastAsia="en-GB" w:bidi="en-GB"/>
      </w:rPr>
    </w:lvl>
    <w:lvl w:ilvl="3">
      <w:numFmt w:val="bullet"/>
      <w:lvlText w:val=""/>
      <w:lvlJc w:val="left"/>
      <w:pPr>
        <w:ind w:left="1455" w:hanging="360"/>
      </w:pPr>
      <w:rPr>
        <w:rFonts w:ascii="Symbol" w:eastAsia="Symbol" w:hAnsi="Symbol" w:cs="Symbol" w:hint="default"/>
        <w:w w:val="100"/>
        <w:sz w:val="24"/>
        <w:szCs w:val="24"/>
        <w:lang w:val="en-GB" w:eastAsia="en-GB" w:bidi="en-GB"/>
      </w:rPr>
    </w:lvl>
    <w:lvl w:ilvl="4">
      <w:numFmt w:val="bullet"/>
      <w:lvlText w:val="o"/>
      <w:lvlJc w:val="left"/>
      <w:pPr>
        <w:ind w:left="2096" w:hanging="360"/>
      </w:pPr>
      <w:rPr>
        <w:rFonts w:ascii="Courier New" w:eastAsia="Courier New" w:hAnsi="Courier New" w:cs="Courier New" w:hint="default"/>
        <w:w w:val="100"/>
        <w:sz w:val="24"/>
        <w:szCs w:val="24"/>
        <w:lang w:val="en-GB" w:eastAsia="en-GB" w:bidi="en-GB"/>
      </w:rPr>
    </w:lvl>
    <w:lvl w:ilvl="5">
      <w:numFmt w:val="bullet"/>
      <w:lvlText w:val="•"/>
      <w:lvlJc w:val="left"/>
      <w:pPr>
        <w:ind w:left="3357" w:hanging="360"/>
      </w:pPr>
      <w:rPr>
        <w:rFonts w:hint="default"/>
        <w:lang w:val="en-GB" w:eastAsia="en-GB" w:bidi="en-GB"/>
      </w:rPr>
    </w:lvl>
    <w:lvl w:ilvl="6">
      <w:numFmt w:val="bullet"/>
      <w:lvlText w:val="•"/>
      <w:lvlJc w:val="left"/>
      <w:pPr>
        <w:ind w:left="4615" w:hanging="360"/>
      </w:pPr>
      <w:rPr>
        <w:rFonts w:hint="default"/>
        <w:lang w:val="en-GB" w:eastAsia="en-GB" w:bidi="en-GB"/>
      </w:rPr>
    </w:lvl>
    <w:lvl w:ilvl="7">
      <w:numFmt w:val="bullet"/>
      <w:lvlText w:val="•"/>
      <w:lvlJc w:val="left"/>
      <w:pPr>
        <w:ind w:left="5873" w:hanging="360"/>
      </w:pPr>
      <w:rPr>
        <w:rFonts w:hint="default"/>
        <w:lang w:val="en-GB" w:eastAsia="en-GB" w:bidi="en-GB"/>
      </w:rPr>
    </w:lvl>
    <w:lvl w:ilvl="8">
      <w:numFmt w:val="bullet"/>
      <w:lvlText w:val="•"/>
      <w:lvlJc w:val="left"/>
      <w:pPr>
        <w:ind w:left="7130" w:hanging="360"/>
      </w:pPr>
      <w:rPr>
        <w:rFonts w:hint="default"/>
        <w:lang w:val="en-GB" w:eastAsia="en-GB" w:bidi="en-GB"/>
      </w:rPr>
    </w:lvl>
  </w:abstractNum>
  <w:abstractNum w:abstractNumId="3" w15:restartNumberingAfterBreak="0">
    <w:nsid w:val="03377894"/>
    <w:multiLevelType w:val="hybridMultilevel"/>
    <w:tmpl w:val="07E6445A"/>
    <w:lvl w:ilvl="0" w:tplc="A35442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A13351"/>
    <w:multiLevelType w:val="hybridMultilevel"/>
    <w:tmpl w:val="E2988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06D94"/>
    <w:multiLevelType w:val="hybridMultilevel"/>
    <w:tmpl w:val="48F2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23399E"/>
    <w:multiLevelType w:val="hybridMultilevel"/>
    <w:tmpl w:val="623E58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0A72FC"/>
    <w:multiLevelType w:val="hybridMultilevel"/>
    <w:tmpl w:val="1A126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F057DB"/>
    <w:multiLevelType w:val="multilevel"/>
    <w:tmpl w:val="12D83B1A"/>
    <w:lvl w:ilvl="0">
      <w:start w:val="19"/>
      <w:numFmt w:val="decimal"/>
      <w:lvlText w:val="%1"/>
      <w:lvlJc w:val="left"/>
      <w:pPr>
        <w:ind w:left="810" w:hanging="708"/>
      </w:pPr>
      <w:rPr>
        <w:rFonts w:hint="default"/>
      </w:rPr>
    </w:lvl>
    <w:lvl w:ilvl="1">
      <w:start w:val="18"/>
      <w:numFmt w:val="decimal"/>
      <w:lvlText w:val="%1.%2"/>
      <w:lvlJc w:val="left"/>
      <w:pPr>
        <w:ind w:left="810" w:hanging="708"/>
      </w:pPr>
      <w:rPr>
        <w:rFonts w:ascii="Arial" w:eastAsia="Arial" w:hAnsi="Arial" w:cs="Arial" w:hint="default"/>
        <w:b/>
        <w:bCs/>
        <w:spacing w:val="-27"/>
        <w:w w:val="100"/>
        <w:sz w:val="24"/>
        <w:szCs w:val="24"/>
      </w:rPr>
    </w:lvl>
    <w:lvl w:ilvl="2">
      <w:start w:val="1"/>
      <w:numFmt w:val="lowerLetter"/>
      <w:lvlText w:val="(%3)"/>
      <w:lvlJc w:val="left"/>
      <w:pPr>
        <w:ind w:left="1172" w:hanging="360"/>
      </w:pPr>
      <w:rPr>
        <w:rFonts w:ascii="Arial" w:eastAsia="Arial" w:hAnsi="Arial" w:cs="Arial" w:hint="default"/>
        <w:w w:val="99"/>
        <w:sz w:val="24"/>
        <w:szCs w:val="24"/>
      </w:rPr>
    </w:lvl>
    <w:lvl w:ilvl="3">
      <w:numFmt w:val="bullet"/>
      <w:lvlText w:val=""/>
      <w:lvlJc w:val="left"/>
      <w:pPr>
        <w:ind w:left="1662" w:hanging="425"/>
      </w:pPr>
      <w:rPr>
        <w:rFonts w:ascii="Symbol" w:eastAsia="Symbol" w:hAnsi="Symbol" w:cs="Symbol" w:hint="default"/>
        <w:w w:val="100"/>
        <w:sz w:val="24"/>
        <w:szCs w:val="24"/>
      </w:rPr>
    </w:lvl>
    <w:lvl w:ilvl="4">
      <w:numFmt w:val="bullet"/>
      <w:lvlText w:val="o"/>
      <w:lvlJc w:val="left"/>
      <w:pPr>
        <w:ind w:left="2096" w:hanging="360"/>
      </w:pPr>
      <w:rPr>
        <w:rFonts w:ascii="Courier New" w:eastAsia="Courier New" w:hAnsi="Courier New" w:cs="Courier New" w:hint="default"/>
        <w:w w:val="100"/>
        <w:sz w:val="24"/>
        <w:szCs w:val="24"/>
      </w:rPr>
    </w:lvl>
    <w:lvl w:ilvl="5">
      <w:numFmt w:val="bullet"/>
      <w:lvlText w:val="•"/>
      <w:lvlJc w:val="left"/>
      <w:pPr>
        <w:ind w:left="3431" w:hanging="360"/>
      </w:pPr>
      <w:rPr>
        <w:rFonts w:hint="default"/>
      </w:rPr>
    </w:lvl>
    <w:lvl w:ilvl="6">
      <w:numFmt w:val="bullet"/>
      <w:lvlText w:val="•"/>
      <w:lvlJc w:val="left"/>
      <w:pPr>
        <w:ind w:left="4762" w:hanging="360"/>
      </w:pPr>
      <w:rPr>
        <w:rFonts w:hint="default"/>
      </w:rPr>
    </w:lvl>
    <w:lvl w:ilvl="7">
      <w:numFmt w:val="bullet"/>
      <w:lvlText w:val="•"/>
      <w:lvlJc w:val="left"/>
      <w:pPr>
        <w:ind w:left="6093" w:hanging="360"/>
      </w:pPr>
      <w:rPr>
        <w:rFonts w:hint="default"/>
      </w:rPr>
    </w:lvl>
    <w:lvl w:ilvl="8">
      <w:numFmt w:val="bullet"/>
      <w:lvlText w:val="•"/>
      <w:lvlJc w:val="left"/>
      <w:pPr>
        <w:ind w:left="7424" w:hanging="360"/>
      </w:pPr>
      <w:rPr>
        <w:rFonts w:hint="default"/>
      </w:rPr>
    </w:lvl>
  </w:abstractNum>
  <w:abstractNum w:abstractNumId="9" w15:restartNumberingAfterBreak="0">
    <w:nsid w:val="0E9648EB"/>
    <w:multiLevelType w:val="hybridMultilevel"/>
    <w:tmpl w:val="2D7A0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94385"/>
    <w:multiLevelType w:val="hybridMultilevel"/>
    <w:tmpl w:val="16C28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454598"/>
    <w:multiLevelType w:val="hybridMultilevel"/>
    <w:tmpl w:val="409AD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5A320E"/>
    <w:multiLevelType w:val="hybridMultilevel"/>
    <w:tmpl w:val="062E7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B93515"/>
    <w:multiLevelType w:val="hybridMultilevel"/>
    <w:tmpl w:val="33743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204D66"/>
    <w:multiLevelType w:val="hybridMultilevel"/>
    <w:tmpl w:val="042EC84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5" w15:restartNumberingAfterBreak="0">
    <w:nsid w:val="2A914866"/>
    <w:multiLevelType w:val="hybridMultilevel"/>
    <w:tmpl w:val="872C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55E7C"/>
    <w:multiLevelType w:val="hybridMultilevel"/>
    <w:tmpl w:val="10F87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F40226"/>
    <w:multiLevelType w:val="hybridMultilevel"/>
    <w:tmpl w:val="211EE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A506A"/>
    <w:multiLevelType w:val="multilevel"/>
    <w:tmpl w:val="77740A54"/>
    <w:lvl w:ilvl="0">
      <w:start w:val="19"/>
      <w:numFmt w:val="decimal"/>
      <w:lvlText w:val="%1"/>
      <w:lvlJc w:val="left"/>
      <w:pPr>
        <w:ind w:left="708" w:hanging="708"/>
      </w:pPr>
      <w:rPr>
        <w:lang w:val="en-GB" w:eastAsia="en-GB" w:bidi="en-GB"/>
      </w:rPr>
    </w:lvl>
    <w:lvl w:ilvl="1">
      <w:start w:val="1"/>
      <w:numFmt w:val="decimal"/>
      <w:lvlText w:val="%1.%2"/>
      <w:lvlJc w:val="left"/>
      <w:pPr>
        <w:ind w:left="708" w:hanging="708"/>
        <w:jc w:val="right"/>
      </w:pPr>
      <w:rPr>
        <w:b/>
        <w:bCs/>
        <w:spacing w:val="-1"/>
        <w:w w:val="100"/>
        <w:lang w:val="en-GB" w:eastAsia="en-GB" w:bidi="en-GB"/>
      </w:rPr>
    </w:lvl>
    <w:lvl w:ilvl="2">
      <w:numFmt w:val="bullet"/>
      <w:lvlText w:val=""/>
      <w:lvlJc w:val="left"/>
      <w:pPr>
        <w:ind w:left="1560" w:hanging="425"/>
      </w:pPr>
      <w:rPr>
        <w:rFonts w:ascii="Symbol" w:hAnsi="Symbol" w:hint="default"/>
        <w:w w:val="100"/>
        <w:sz w:val="24"/>
        <w:szCs w:val="24"/>
        <w:lang w:val="en-GB" w:eastAsia="en-GB" w:bidi="en-GB"/>
      </w:rPr>
    </w:lvl>
    <w:lvl w:ilvl="3">
      <w:numFmt w:val="bullet"/>
      <w:lvlText w:val="•"/>
      <w:lvlJc w:val="left"/>
      <w:pPr>
        <w:ind w:left="3430" w:hanging="425"/>
      </w:pPr>
      <w:rPr>
        <w:lang w:val="en-GB" w:eastAsia="en-GB" w:bidi="en-GB"/>
      </w:rPr>
    </w:lvl>
    <w:lvl w:ilvl="4">
      <w:numFmt w:val="bullet"/>
      <w:lvlText w:val="•"/>
      <w:lvlJc w:val="left"/>
      <w:pPr>
        <w:ind w:left="4366" w:hanging="425"/>
      </w:pPr>
      <w:rPr>
        <w:lang w:val="en-GB" w:eastAsia="en-GB" w:bidi="en-GB"/>
      </w:rPr>
    </w:lvl>
    <w:lvl w:ilvl="5">
      <w:numFmt w:val="bullet"/>
      <w:lvlText w:val="•"/>
      <w:lvlJc w:val="left"/>
      <w:pPr>
        <w:ind w:left="5303" w:hanging="425"/>
      </w:pPr>
      <w:rPr>
        <w:lang w:val="en-GB" w:eastAsia="en-GB" w:bidi="en-GB"/>
      </w:rPr>
    </w:lvl>
    <w:lvl w:ilvl="6">
      <w:numFmt w:val="bullet"/>
      <w:lvlText w:val="•"/>
      <w:lvlJc w:val="left"/>
      <w:pPr>
        <w:ind w:left="6239" w:hanging="425"/>
      </w:pPr>
      <w:rPr>
        <w:lang w:val="en-GB" w:eastAsia="en-GB" w:bidi="en-GB"/>
      </w:rPr>
    </w:lvl>
    <w:lvl w:ilvl="7">
      <w:numFmt w:val="bullet"/>
      <w:lvlText w:val="•"/>
      <w:lvlJc w:val="left"/>
      <w:pPr>
        <w:ind w:left="7175" w:hanging="425"/>
      </w:pPr>
      <w:rPr>
        <w:lang w:val="en-GB" w:eastAsia="en-GB" w:bidi="en-GB"/>
      </w:rPr>
    </w:lvl>
    <w:lvl w:ilvl="8">
      <w:numFmt w:val="bullet"/>
      <w:lvlText w:val="•"/>
      <w:lvlJc w:val="left"/>
      <w:pPr>
        <w:ind w:left="8111" w:hanging="425"/>
      </w:pPr>
      <w:rPr>
        <w:lang w:val="en-GB" w:eastAsia="en-GB" w:bidi="en-GB"/>
      </w:rPr>
    </w:lvl>
  </w:abstractNum>
  <w:abstractNum w:abstractNumId="19" w15:restartNumberingAfterBreak="0">
    <w:nsid w:val="316525DE"/>
    <w:multiLevelType w:val="hybridMultilevel"/>
    <w:tmpl w:val="C0725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3E0542"/>
    <w:multiLevelType w:val="hybridMultilevel"/>
    <w:tmpl w:val="DA86E4F6"/>
    <w:lvl w:ilvl="0" w:tplc="679AFE86">
      <w:start w:val="1"/>
      <w:numFmt w:val="decimal"/>
      <w:lvlText w:val="%1."/>
      <w:lvlJc w:val="left"/>
      <w:pPr>
        <w:ind w:left="1236" w:hanging="428"/>
      </w:pPr>
      <w:rPr>
        <w:rFonts w:ascii="Arial" w:eastAsia="Arial" w:hAnsi="Arial" w:cs="Arial" w:hint="default"/>
        <w:spacing w:val="-3"/>
        <w:w w:val="100"/>
        <w:sz w:val="24"/>
        <w:szCs w:val="24"/>
        <w:lang w:val="en-GB" w:eastAsia="en-GB" w:bidi="en-GB"/>
      </w:rPr>
    </w:lvl>
    <w:lvl w:ilvl="1" w:tplc="FD0660B8">
      <w:start w:val="1"/>
      <w:numFmt w:val="lowerLetter"/>
      <w:lvlText w:val="(%2)"/>
      <w:lvlJc w:val="left"/>
      <w:pPr>
        <w:ind w:left="1661" w:hanging="428"/>
      </w:pPr>
      <w:rPr>
        <w:rFonts w:ascii="Arial" w:eastAsia="Arial" w:hAnsi="Arial" w:cs="Arial" w:hint="default"/>
        <w:spacing w:val="-3"/>
        <w:w w:val="100"/>
        <w:sz w:val="24"/>
        <w:szCs w:val="24"/>
        <w:lang w:val="en-GB" w:eastAsia="en-GB" w:bidi="en-GB"/>
      </w:rPr>
    </w:lvl>
    <w:lvl w:ilvl="2" w:tplc="D08E67AA">
      <w:numFmt w:val="bullet"/>
      <w:lvlText w:val="•"/>
      <w:lvlJc w:val="left"/>
      <w:pPr>
        <w:ind w:left="2545" w:hanging="428"/>
      </w:pPr>
      <w:rPr>
        <w:rFonts w:hint="default"/>
        <w:lang w:val="en-GB" w:eastAsia="en-GB" w:bidi="en-GB"/>
      </w:rPr>
    </w:lvl>
    <w:lvl w:ilvl="3" w:tplc="57A82ACA">
      <w:numFmt w:val="bullet"/>
      <w:lvlText w:val="•"/>
      <w:lvlJc w:val="left"/>
      <w:pPr>
        <w:ind w:left="3430" w:hanging="428"/>
      </w:pPr>
      <w:rPr>
        <w:rFonts w:hint="default"/>
        <w:lang w:val="en-GB" w:eastAsia="en-GB" w:bidi="en-GB"/>
      </w:rPr>
    </w:lvl>
    <w:lvl w:ilvl="4" w:tplc="F05200D4">
      <w:numFmt w:val="bullet"/>
      <w:lvlText w:val="•"/>
      <w:lvlJc w:val="left"/>
      <w:pPr>
        <w:ind w:left="4315" w:hanging="428"/>
      </w:pPr>
      <w:rPr>
        <w:rFonts w:hint="default"/>
        <w:lang w:val="en-GB" w:eastAsia="en-GB" w:bidi="en-GB"/>
      </w:rPr>
    </w:lvl>
    <w:lvl w:ilvl="5" w:tplc="0D921DC2">
      <w:numFmt w:val="bullet"/>
      <w:lvlText w:val="•"/>
      <w:lvlJc w:val="left"/>
      <w:pPr>
        <w:ind w:left="5200" w:hanging="428"/>
      </w:pPr>
      <w:rPr>
        <w:rFonts w:hint="default"/>
        <w:lang w:val="en-GB" w:eastAsia="en-GB" w:bidi="en-GB"/>
      </w:rPr>
    </w:lvl>
    <w:lvl w:ilvl="6" w:tplc="2358513A">
      <w:numFmt w:val="bullet"/>
      <w:lvlText w:val="•"/>
      <w:lvlJc w:val="left"/>
      <w:pPr>
        <w:ind w:left="6085" w:hanging="428"/>
      </w:pPr>
      <w:rPr>
        <w:rFonts w:hint="default"/>
        <w:lang w:val="en-GB" w:eastAsia="en-GB" w:bidi="en-GB"/>
      </w:rPr>
    </w:lvl>
    <w:lvl w:ilvl="7" w:tplc="B2EA4B32">
      <w:numFmt w:val="bullet"/>
      <w:lvlText w:val="•"/>
      <w:lvlJc w:val="left"/>
      <w:pPr>
        <w:ind w:left="6970" w:hanging="428"/>
      </w:pPr>
      <w:rPr>
        <w:rFonts w:hint="default"/>
        <w:lang w:val="en-GB" w:eastAsia="en-GB" w:bidi="en-GB"/>
      </w:rPr>
    </w:lvl>
    <w:lvl w:ilvl="8" w:tplc="2D14B860">
      <w:numFmt w:val="bullet"/>
      <w:lvlText w:val="•"/>
      <w:lvlJc w:val="left"/>
      <w:pPr>
        <w:ind w:left="7856" w:hanging="428"/>
      </w:pPr>
      <w:rPr>
        <w:rFonts w:hint="default"/>
        <w:lang w:val="en-GB" w:eastAsia="en-GB" w:bidi="en-GB"/>
      </w:rPr>
    </w:lvl>
  </w:abstractNum>
  <w:abstractNum w:abstractNumId="21" w15:restartNumberingAfterBreak="0">
    <w:nsid w:val="340F637D"/>
    <w:multiLevelType w:val="hybridMultilevel"/>
    <w:tmpl w:val="E910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280D3A"/>
    <w:multiLevelType w:val="multilevel"/>
    <w:tmpl w:val="3A122DE4"/>
    <w:lvl w:ilvl="0">
      <w:start w:val="19"/>
      <w:numFmt w:val="decimal"/>
      <w:lvlText w:val="%1"/>
      <w:lvlJc w:val="left"/>
      <w:pPr>
        <w:ind w:left="810" w:hanging="708"/>
      </w:pPr>
      <w:rPr>
        <w:rFonts w:hint="default"/>
        <w:lang w:val="en-GB" w:eastAsia="en-GB" w:bidi="en-GB"/>
      </w:rPr>
    </w:lvl>
    <w:lvl w:ilvl="1">
      <w:start w:val="16"/>
      <w:numFmt w:val="decimal"/>
      <w:lvlText w:val="%1.%2"/>
      <w:lvlJc w:val="left"/>
      <w:pPr>
        <w:ind w:left="810" w:hanging="708"/>
      </w:pPr>
      <w:rPr>
        <w:rFonts w:ascii="Arial" w:eastAsia="Arial" w:hAnsi="Arial" w:cs="Arial" w:hint="default"/>
        <w:b/>
        <w:bCs/>
        <w:spacing w:val="-27"/>
        <w:w w:val="100"/>
        <w:sz w:val="24"/>
        <w:szCs w:val="24"/>
        <w:lang w:val="en-GB" w:eastAsia="en-GB" w:bidi="en-GB"/>
      </w:rPr>
    </w:lvl>
    <w:lvl w:ilvl="2">
      <w:start w:val="1"/>
      <w:numFmt w:val="lowerLetter"/>
      <w:lvlText w:val="(%3)"/>
      <w:lvlJc w:val="left"/>
      <w:pPr>
        <w:ind w:left="1172" w:hanging="360"/>
      </w:pPr>
      <w:rPr>
        <w:rFonts w:ascii="Arial" w:eastAsia="Arial" w:hAnsi="Arial" w:cs="Arial" w:hint="default"/>
        <w:w w:val="99"/>
        <w:sz w:val="24"/>
        <w:szCs w:val="24"/>
        <w:lang w:val="en-GB" w:eastAsia="en-GB" w:bidi="en-GB"/>
      </w:rPr>
    </w:lvl>
    <w:lvl w:ilvl="3">
      <w:numFmt w:val="bullet"/>
      <w:lvlText w:val=""/>
      <w:lvlJc w:val="left"/>
      <w:pPr>
        <w:ind w:left="1662" w:hanging="425"/>
      </w:pPr>
      <w:rPr>
        <w:rFonts w:ascii="Symbol" w:eastAsia="Symbol" w:hAnsi="Symbol" w:cs="Symbol" w:hint="default"/>
        <w:w w:val="100"/>
        <w:sz w:val="24"/>
        <w:szCs w:val="24"/>
        <w:lang w:val="en-GB" w:eastAsia="en-GB" w:bidi="en-GB"/>
      </w:rPr>
    </w:lvl>
    <w:lvl w:ilvl="4">
      <w:numFmt w:val="bullet"/>
      <w:lvlText w:val="o"/>
      <w:lvlJc w:val="left"/>
      <w:pPr>
        <w:ind w:left="2096" w:hanging="360"/>
      </w:pPr>
      <w:rPr>
        <w:rFonts w:ascii="Courier New" w:eastAsia="Courier New" w:hAnsi="Courier New" w:cs="Courier New" w:hint="default"/>
        <w:w w:val="100"/>
        <w:sz w:val="24"/>
        <w:szCs w:val="24"/>
        <w:lang w:val="en-GB" w:eastAsia="en-GB" w:bidi="en-GB"/>
      </w:rPr>
    </w:lvl>
    <w:lvl w:ilvl="5">
      <w:numFmt w:val="bullet"/>
      <w:lvlText w:val="•"/>
      <w:lvlJc w:val="left"/>
      <w:pPr>
        <w:ind w:left="3431" w:hanging="360"/>
      </w:pPr>
      <w:rPr>
        <w:rFonts w:hint="default"/>
        <w:lang w:val="en-GB" w:eastAsia="en-GB" w:bidi="en-GB"/>
      </w:rPr>
    </w:lvl>
    <w:lvl w:ilvl="6">
      <w:numFmt w:val="bullet"/>
      <w:lvlText w:val="•"/>
      <w:lvlJc w:val="left"/>
      <w:pPr>
        <w:ind w:left="4762" w:hanging="360"/>
      </w:pPr>
      <w:rPr>
        <w:rFonts w:hint="default"/>
        <w:lang w:val="en-GB" w:eastAsia="en-GB" w:bidi="en-GB"/>
      </w:rPr>
    </w:lvl>
    <w:lvl w:ilvl="7">
      <w:numFmt w:val="bullet"/>
      <w:lvlText w:val="•"/>
      <w:lvlJc w:val="left"/>
      <w:pPr>
        <w:ind w:left="6093" w:hanging="360"/>
      </w:pPr>
      <w:rPr>
        <w:rFonts w:hint="default"/>
        <w:lang w:val="en-GB" w:eastAsia="en-GB" w:bidi="en-GB"/>
      </w:rPr>
    </w:lvl>
    <w:lvl w:ilvl="8">
      <w:numFmt w:val="bullet"/>
      <w:lvlText w:val="•"/>
      <w:lvlJc w:val="left"/>
      <w:pPr>
        <w:ind w:left="7424" w:hanging="360"/>
      </w:pPr>
      <w:rPr>
        <w:rFonts w:hint="default"/>
        <w:lang w:val="en-GB" w:eastAsia="en-GB" w:bidi="en-GB"/>
      </w:rPr>
    </w:lvl>
  </w:abstractNum>
  <w:abstractNum w:abstractNumId="23" w15:restartNumberingAfterBreak="0">
    <w:nsid w:val="39E6670D"/>
    <w:multiLevelType w:val="hybridMultilevel"/>
    <w:tmpl w:val="72FA7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4B6636"/>
    <w:multiLevelType w:val="hybridMultilevel"/>
    <w:tmpl w:val="D32011E6"/>
    <w:lvl w:ilvl="0" w:tplc="A354429C">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BC6BE7"/>
    <w:multiLevelType w:val="hybridMultilevel"/>
    <w:tmpl w:val="80D0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275C6"/>
    <w:multiLevelType w:val="hybridMultilevel"/>
    <w:tmpl w:val="E32EE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DC4506"/>
    <w:multiLevelType w:val="multilevel"/>
    <w:tmpl w:val="187A587E"/>
    <w:lvl w:ilvl="0">
      <w:start w:val="19"/>
      <w:numFmt w:val="decimal"/>
      <w:lvlText w:val="%1"/>
      <w:lvlJc w:val="left"/>
      <w:pPr>
        <w:ind w:left="810" w:hanging="708"/>
      </w:pPr>
      <w:rPr>
        <w:rFonts w:hint="default"/>
      </w:rPr>
    </w:lvl>
    <w:lvl w:ilvl="1">
      <w:start w:val="16"/>
      <w:numFmt w:val="decimal"/>
      <w:lvlText w:val="%1.%2"/>
      <w:lvlJc w:val="left"/>
      <w:pPr>
        <w:ind w:left="810" w:hanging="708"/>
      </w:pPr>
      <w:rPr>
        <w:rFonts w:ascii="Arial" w:eastAsia="Arial" w:hAnsi="Arial" w:cs="Arial" w:hint="default"/>
        <w:b/>
        <w:bCs/>
        <w:spacing w:val="-27"/>
        <w:w w:val="100"/>
        <w:sz w:val="24"/>
        <w:szCs w:val="24"/>
      </w:rPr>
    </w:lvl>
    <w:lvl w:ilvl="2">
      <w:start w:val="1"/>
      <w:numFmt w:val="lowerLetter"/>
      <w:lvlText w:val="(%3)"/>
      <w:lvlJc w:val="left"/>
      <w:pPr>
        <w:ind w:left="1172" w:hanging="360"/>
      </w:pPr>
      <w:rPr>
        <w:rFonts w:ascii="Arial" w:eastAsia="Arial" w:hAnsi="Arial" w:cs="Arial" w:hint="default"/>
        <w:w w:val="99"/>
        <w:sz w:val="24"/>
        <w:szCs w:val="24"/>
      </w:rPr>
    </w:lvl>
    <w:lvl w:ilvl="3">
      <w:numFmt w:val="bullet"/>
      <w:lvlText w:val=""/>
      <w:lvlJc w:val="left"/>
      <w:pPr>
        <w:ind w:left="1662" w:hanging="425"/>
      </w:pPr>
      <w:rPr>
        <w:rFonts w:ascii="Symbol" w:eastAsia="Symbol" w:hAnsi="Symbol" w:cs="Symbol" w:hint="default"/>
        <w:w w:val="100"/>
        <w:sz w:val="24"/>
        <w:szCs w:val="24"/>
      </w:rPr>
    </w:lvl>
    <w:lvl w:ilvl="4">
      <w:numFmt w:val="bullet"/>
      <w:lvlText w:val="o"/>
      <w:lvlJc w:val="left"/>
      <w:pPr>
        <w:ind w:left="2096" w:hanging="360"/>
      </w:pPr>
      <w:rPr>
        <w:rFonts w:ascii="Courier New" w:eastAsia="Courier New" w:hAnsi="Courier New" w:cs="Courier New" w:hint="default"/>
        <w:w w:val="100"/>
        <w:sz w:val="24"/>
        <w:szCs w:val="24"/>
      </w:rPr>
    </w:lvl>
    <w:lvl w:ilvl="5">
      <w:numFmt w:val="bullet"/>
      <w:lvlText w:val="•"/>
      <w:lvlJc w:val="left"/>
      <w:pPr>
        <w:ind w:left="3431" w:hanging="360"/>
      </w:pPr>
      <w:rPr>
        <w:rFonts w:hint="default"/>
      </w:rPr>
    </w:lvl>
    <w:lvl w:ilvl="6">
      <w:numFmt w:val="bullet"/>
      <w:lvlText w:val="•"/>
      <w:lvlJc w:val="left"/>
      <w:pPr>
        <w:ind w:left="4762" w:hanging="360"/>
      </w:pPr>
      <w:rPr>
        <w:rFonts w:hint="default"/>
      </w:rPr>
    </w:lvl>
    <w:lvl w:ilvl="7">
      <w:numFmt w:val="bullet"/>
      <w:lvlText w:val="•"/>
      <w:lvlJc w:val="left"/>
      <w:pPr>
        <w:ind w:left="6093" w:hanging="360"/>
      </w:pPr>
      <w:rPr>
        <w:rFonts w:hint="default"/>
      </w:rPr>
    </w:lvl>
    <w:lvl w:ilvl="8">
      <w:numFmt w:val="bullet"/>
      <w:lvlText w:val="•"/>
      <w:lvlJc w:val="left"/>
      <w:pPr>
        <w:ind w:left="7424" w:hanging="360"/>
      </w:pPr>
      <w:rPr>
        <w:rFonts w:hint="default"/>
      </w:rPr>
    </w:lvl>
  </w:abstractNum>
  <w:abstractNum w:abstractNumId="28" w15:restartNumberingAfterBreak="0">
    <w:nsid w:val="557075F6"/>
    <w:multiLevelType w:val="hybridMultilevel"/>
    <w:tmpl w:val="729C59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2637C2"/>
    <w:multiLevelType w:val="hybridMultilevel"/>
    <w:tmpl w:val="A18626A2"/>
    <w:lvl w:ilvl="0" w:tplc="43707372">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D91E63"/>
    <w:multiLevelType w:val="hybridMultilevel"/>
    <w:tmpl w:val="4FBC768C"/>
    <w:lvl w:ilvl="0" w:tplc="B87297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AF0231"/>
    <w:multiLevelType w:val="hybridMultilevel"/>
    <w:tmpl w:val="047AF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6954CE"/>
    <w:multiLevelType w:val="hybridMultilevel"/>
    <w:tmpl w:val="B658C2C4"/>
    <w:lvl w:ilvl="0" w:tplc="C6DC764A">
      <w:numFmt w:val="bullet"/>
      <w:lvlText w:val="•"/>
      <w:lvlJc w:val="left"/>
      <w:pPr>
        <w:ind w:left="720" w:hanging="720"/>
      </w:pPr>
      <w:rPr>
        <w:rFonts w:ascii="Arial" w:eastAsiaTheme="minorHAnsi" w:hAnsi="Arial" w:cs="Arial" w:hint="default"/>
      </w:rPr>
    </w:lvl>
    <w:lvl w:ilvl="1" w:tplc="58984040">
      <w:numFmt w:val="bullet"/>
      <w:lvlText w:val=""/>
      <w:lvlJc w:val="left"/>
      <w:pPr>
        <w:ind w:left="1800" w:hanging="72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903695"/>
    <w:multiLevelType w:val="hybridMultilevel"/>
    <w:tmpl w:val="52226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570A16"/>
    <w:multiLevelType w:val="hybridMultilevel"/>
    <w:tmpl w:val="502CFD4E"/>
    <w:lvl w:ilvl="0" w:tplc="46664244">
      <w:start w:val="1"/>
      <w:numFmt w:val="lowerLetter"/>
      <w:lvlText w:val="(%1)"/>
      <w:lvlJc w:val="left"/>
      <w:pPr>
        <w:ind w:left="1237" w:hanging="425"/>
      </w:pPr>
      <w:rPr>
        <w:rFonts w:ascii="Arial" w:eastAsia="Arial" w:hAnsi="Arial" w:cs="Arial" w:hint="default"/>
        <w:w w:val="99"/>
        <w:sz w:val="24"/>
        <w:szCs w:val="24"/>
        <w:lang w:val="en-GB" w:eastAsia="en-GB" w:bidi="en-GB"/>
      </w:rPr>
    </w:lvl>
    <w:lvl w:ilvl="1" w:tplc="A170D53A">
      <w:numFmt w:val="bullet"/>
      <w:lvlText w:val=""/>
      <w:lvlJc w:val="left"/>
      <w:pPr>
        <w:ind w:left="1662" w:hanging="425"/>
      </w:pPr>
      <w:rPr>
        <w:rFonts w:ascii="Symbol" w:eastAsia="Symbol" w:hAnsi="Symbol" w:cs="Symbol" w:hint="default"/>
        <w:w w:val="100"/>
        <w:sz w:val="24"/>
        <w:szCs w:val="24"/>
        <w:lang w:val="en-GB" w:eastAsia="en-GB" w:bidi="en-GB"/>
      </w:rPr>
    </w:lvl>
    <w:lvl w:ilvl="2" w:tplc="99FE413E">
      <w:numFmt w:val="bullet"/>
      <w:lvlText w:val="•"/>
      <w:lvlJc w:val="left"/>
      <w:pPr>
        <w:ind w:left="2596" w:hanging="425"/>
      </w:pPr>
      <w:rPr>
        <w:rFonts w:hint="default"/>
        <w:lang w:val="en-GB" w:eastAsia="en-GB" w:bidi="en-GB"/>
      </w:rPr>
    </w:lvl>
    <w:lvl w:ilvl="3" w:tplc="38461F82">
      <w:numFmt w:val="bullet"/>
      <w:lvlText w:val="•"/>
      <w:lvlJc w:val="left"/>
      <w:pPr>
        <w:ind w:left="3532" w:hanging="425"/>
      </w:pPr>
      <w:rPr>
        <w:rFonts w:hint="default"/>
        <w:lang w:val="en-GB" w:eastAsia="en-GB" w:bidi="en-GB"/>
      </w:rPr>
    </w:lvl>
    <w:lvl w:ilvl="4" w:tplc="3AC88668">
      <w:numFmt w:val="bullet"/>
      <w:lvlText w:val="•"/>
      <w:lvlJc w:val="left"/>
      <w:pPr>
        <w:ind w:left="4468" w:hanging="425"/>
      </w:pPr>
      <w:rPr>
        <w:rFonts w:hint="default"/>
        <w:lang w:val="en-GB" w:eastAsia="en-GB" w:bidi="en-GB"/>
      </w:rPr>
    </w:lvl>
    <w:lvl w:ilvl="5" w:tplc="BE900F4A">
      <w:numFmt w:val="bullet"/>
      <w:lvlText w:val="•"/>
      <w:lvlJc w:val="left"/>
      <w:pPr>
        <w:ind w:left="5405" w:hanging="425"/>
      </w:pPr>
      <w:rPr>
        <w:rFonts w:hint="default"/>
        <w:lang w:val="en-GB" w:eastAsia="en-GB" w:bidi="en-GB"/>
      </w:rPr>
    </w:lvl>
    <w:lvl w:ilvl="6" w:tplc="EDE63B3C">
      <w:numFmt w:val="bullet"/>
      <w:lvlText w:val="•"/>
      <w:lvlJc w:val="left"/>
      <w:pPr>
        <w:ind w:left="6341" w:hanging="425"/>
      </w:pPr>
      <w:rPr>
        <w:rFonts w:hint="default"/>
        <w:lang w:val="en-GB" w:eastAsia="en-GB" w:bidi="en-GB"/>
      </w:rPr>
    </w:lvl>
    <w:lvl w:ilvl="7" w:tplc="D7E4F81E">
      <w:numFmt w:val="bullet"/>
      <w:lvlText w:val="•"/>
      <w:lvlJc w:val="left"/>
      <w:pPr>
        <w:ind w:left="7277" w:hanging="425"/>
      </w:pPr>
      <w:rPr>
        <w:rFonts w:hint="default"/>
        <w:lang w:val="en-GB" w:eastAsia="en-GB" w:bidi="en-GB"/>
      </w:rPr>
    </w:lvl>
    <w:lvl w:ilvl="8" w:tplc="37DC48B4">
      <w:numFmt w:val="bullet"/>
      <w:lvlText w:val="•"/>
      <w:lvlJc w:val="left"/>
      <w:pPr>
        <w:ind w:left="8213" w:hanging="425"/>
      </w:pPr>
      <w:rPr>
        <w:rFonts w:hint="default"/>
        <w:lang w:val="en-GB" w:eastAsia="en-GB" w:bidi="en-GB"/>
      </w:rPr>
    </w:lvl>
  </w:abstractNum>
  <w:abstractNum w:abstractNumId="35" w15:restartNumberingAfterBreak="0">
    <w:nsid w:val="6B492405"/>
    <w:multiLevelType w:val="hybridMultilevel"/>
    <w:tmpl w:val="3648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770A57"/>
    <w:multiLevelType w:val="hybridMultilevel"/>
    <w:tmpl w:val="5A70D8B6"/>
    <w:lvl w:ilvl="0" w:tplc="C6DC764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906370"/>
    <w:multiLevelType w:val="hybridMultilevel"/>
    <w:tmpl w:val="FF34F65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F313F4"/>
    <w:multiLevelType w:val="hybridMultilevel"/>
    <w:tmpl w:val="59FC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300CEE"/>
    <w:multiLevelType w:val="hybridMultilevel"/>
    <w:tmpl w:val="C3CE4AEE"/>
    <w:lvl w:ilvl="0" w:tplc="FFDC42B4">
      <w:start w:val="1"/>
      <w:numFmt w:val="bullet"/>
      <w:pStyle w:val="dBulletpoints"/>
      <w:lvlText w:val=""/>
      <w:lvlJc w:val="left"/>
      <w:pPr>
        <w:ind w:left="1313" w:hanging="360"/>
      </w:pPr>
      <w:rPr>
        <w:rFonts w:ascii="Symbol" w:hAnsi="Symbol" w:hint="default"/>
      </w:rPr>
    </w:lvl>
    <w:lvl w:ilvl="1" w:tplc="08090003">
      <w:start w:val="1"/>
      <w:numFmt w:val="bullet"/>
      <w:lvlText w:val="o"/>
      <w:lvlJc w:val="left"/>
      <w:pPr>
        <w:ind w:left="2033" w:hanging="360"/>
      </w:pPr>
      <w:rPr>
        <w:rFonts w:ascii="Courier New" w:hAnsi="Courier New" w:cs="Courier New" w:hint="default"/>
      </w:rPr>
    </w:lvl>
    <w:lvl w:ilvl="2" w:tplc="08090005" w:tentative="1">
      <w:start w:val="1"/>
      <w:numFmt w:val="bullet"/>
      <w:lvlText w:val=""/>
      <w:lvlJc w:val="left"/>
      <w:pPr>
        <w:ind w:left="2753" w:hanging="360"/>
      </w:pPr>
      <w:rPr>
        <w:rFonts w:ascii="Wingdings" w:hAnsi="Wingdings" w:hint="default"/>
      </w:rPr>
    </w:lvl>
    <w:lvl w:ilvl="3" w:tplc="08090001" w:tentative="1">
      <w:start w:val="1"/>
      <w:numFmt w:val="bullet"/>
      <w:lvlText w:val=""/>
      <w:lvlJc w:val="left"/>
      <w:pPr>
        <w:ind w:left="3473" w:hanging="360"/>
      </w:pPr>
      <w:rPr>
        <w:rFonts w:ascii="Symbol" w:hAnsi="Symbol" w:hint="default"/>
      </w:rPr>
    </w:lvl>
    <w:lvl w:ilvl="4" w:tplc="08090003" w:tentative="1">
      <w:start w:val="1"/>
      <w:numFmt w:val="bullet"/>
      <w:lvlText w:val="o"/>
      <w:lvlJc w:val="left"/>
      <w:pPr>
        <w:ind w:left="4193" w:hanging="360"/>
      </w:pPr>
      <w:rPr>
        <w:rFonts w:ascii="Courier New" w:hAnsi="Courier New" w:cs="Courier New" w:hint="default"/>
      </w:rPr>
    </w:lvl>
    <w:lvl w:ilvl="5" w:tplc="08090005" w:tentative="1">
      <w:start w:val="1"/>
      <w:numFmt w:val="bullet"/>
      <w:lvlText w:val=""/>
      <w:lvlJc w:val="left"/>
      <w:pPr>
        <w:ind w:left="4913" w:hanging="360"/>
      </w:pPr>
      <w:rPr>
        <w:rFonts w:ascii="Wingdings" w:hAnsi="Wingdings" w:hint="default"/>
      </w:rPr>
    </w:lvl>
    <w:lvl w:ilvl="6" w:tplc="08090001" w:tentative="1">
      <w:start w:val="1"/>
      <w:numFmt w:val="bullet"/>
      <w:lvlText w:val=""/>
      <w:lvlJc w:val="left"/>
      <w:pPr>
        <w:ind w:left="5633" w:hanging="360"/>
      </w:pPr>
      <w:rPr>
        <w:rFonts w:ascii="Symbol" w:hAnsi="Symbol" w:hint="default"/>
      </w:rPr>
    </w:lvl>
    <w:lvl w:ilvl="7" w:tplc="08090003" w:tentative="1">
      <w:start w:val="1"/>
      <w:numFmt w:val="bullet"/>
      <w:lvlText w:val="o"/>
      <w:lvlJc w:val="left"/>
      <w:pPr>
        <w:ind w:left="6353" w:hanging="360"/>
      </w:pPr>
      <w:rPr>
        <w:rFonts w:ascii="Courier New" w:hAnsi="Courier New" w:cs="Courier New" w:hint="default"/>
      </w:rPr>
    </w:lvl>
    <w:lvl w:ilvl="8" w:tplc="08090005" w:tentative="1">
      <w:start w:val="1"/>
      <w:numFmt w:val="bullet"/>
      <w:lvlText w:val=""/>
      <w:lvlJc w:val="left"/>
      <w:pPr>
        <w:ind w:left="7073" w:hanging="360"/>
      </w:pPr>
      <w:rPr>
        <w:rFonts w:ascii="Wingdings" w:hAnsi="Wingdings" w:hint="default"/>
      </w:rPr>
    </w:lvl>
  </w:abstractNum>
  <w:abstractNum w:abstractNumId="40" w15:restartNumberingAfterBreak="0">
    <w:nsid w:val="7D917204"/>
    <w:multiLevelType w:val="hybridMultilevel"/>
    <w:tmpl w:val="EE0CFF7C"/>
    <w:lvl w:ilvl="0" w:tplc="AFC21F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9352D4"/>
    <w:multiLevelType w:val="hybridMultilevel"/>
    <w:tmpl w:val="CD26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880C60"/>
    <w:multiLevelType w:val="hybridMultilevel"/>
    <w:tmpl w:val="F59A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2490475">
    <w:abstractNumId w:val="0"/>
  </w:num>
  <w:num w:numId="2" w16cid:durableId="816335246">
    <w:abstractNumId w:val="12"/>
  </w:num>
  <w:num w:numId="3" w16cid:durableId="862472777">
    <w:abstractNumId w:val="4"/>
  </w:num>
  <w:num w:numId="4" w16cid:durableId="208691517">
    <w:abstractNumId w:val="21"/>
  </w:num>
  <w:num w:numId="5" w16cid:durableId="345835456">
    <w:abstractNumId w:val="5"/>
  </w:num>
  <w:num w:numId="6" w16cid:durableId="2101288425">
    <w:abstractNumId w:val="15"/>
  </w:num>
  <w:num w:numId="7" w16cid:durableId="1804228383">
    <w:abstractNumId w:val="7"/>
  </w:num>
  <w:num w:numId="8" w16cid:durableId="1905289176">
    <w:abstractNumId w:val="13"/>
  </w:num>
  <w:num w:numId="9" w16cid:durableId="787243489">
    <w:abstractNumId w:val="19"/>
  </w:num>
  <w:num w:numId="10" w16cid:durableId="351734597">
    <w:abstractNumId w:val="41"/>
  </w:num>
  <w:num w:numId="11" w16cid:durableId="1895310629">
    <w:abstractNumId w:val="1"/>
  </w:num>
  <w:num w:numId="12" w16cid:durableId="1446194265">
    <w:abstractNumId w:val="11"/>
  </w:num>
  <w:num w:numId="13" w16cid:durableId="994987327">
    <w:abstractNumId w:val="28"/>
  </w:num>
  <w:num w:numId="14" w16cid:durableId="1836454103">
    <w:abstractNumId w:val="6"/>
  </w:num>
  <w:num w:numId="15" w16cid:durableId="2060854371">
    <w:abstractNumId w:val="14"/>
  </w:num>
  <w:num w:numId="16" w16cid:durableId="1868324101">
    <w:abstractNumId w:val="39"/>
  </w:num>
  <w:num w:numId="17" w16cid:durableId="1635863341">
    <w:abstractNumId w:val="23"/>
  </w:num>
  <w:num w:numId="18" w16cid:durableId="755515954">
    <w:abstractNumId w:val="25"/>
  </w:num>
  <w:num w:numId="19" w16cid:durableId="903222340">
    <w:abstractNumId w:val="17"/>
  </w:num>
  <w:num w:numId="20" w16cid:durableId="1175730138">
    <w:abstractNumId w:val="30"/>
  </w:num>
  <w:num w:numId="21" w16cid:durableId="1800611640">
    <w:abstractNumId w:val="24"/>
  </w:num>
  <w:num w:numId="22" w16cid:durableId="166948259">
    <w:abstractNumId w:val="40"/>
  </w:num>
  <w:num w:numId="23" w16cid:durableId="1704162254">
    <w:abstractNumId w:val="3"/>
  </w:num>
  <w:num w:numId="24" w16cid:durableId="2137292398">
    <w:abstractNumId w:val="10"/>
  </w:num>
  <w:num w:numId="25" w16cid:durableId="1924603249">
    <w:abstractNumId w:val="16"/>
  </w:num>
  <w:num w:numId="26" w16cid:durableId="1699430637">
    <w:abstractNumId w:val="38"/>
  </w:num>
  <w:num w:numId="27" w16cid:durableId="201064698">
    <w:abstractNumId w:val="34"/>
  </w:num>
  <w:num w:numId="28" w16cid:durableId="1112676082">
    <w:abstractNumId w:val="35"/>
  </w:num>
  <w:num w:numId="29" w16cid:durableId="851844049">
    <w:abstractNumId w:val="29"/>
  </w:num>
  <w:num w:numId="30" w16cid:durableId="122890028">
    <w:abstractNumId w:val="42"/>
  </w:num>
  <w:num w:numId="31" w16cid:durableId="1402412976">
    <w:abstractNumId w:val="31"/>
  </w:num>
  <w:num w:numId="32" w16cid:durableId="940914353">
    <w:abstractNumId w:val="33"/>
  </w:num>
  <w:num w:numId="33" w16cid:durableId="195506458">
    <w:abstractNumId w:val="36"/>
  </w:num>
  <w:num w:numId="34" w16cid:durableId="1869677763">
    <w:abstractNumId w:val="32"/>
  </w:num>
  <w:num w:numId="35" w16cid:durableId="1389181254">
    <w:abstractNumId w:val="37"/>
  </w:num>
  <w:num w:numId="36" w16cid:durableId="1696466881">
    <w:abstractNumId w:val="2"/>
  </w:num>
  <w:num w:numId="37" w16cid:durableId="1675495312">
    <w:abstractNumId w:val="20"/>
  </w:num>
  <w:num w:numId="38" w16cid:durableId="950360144">
    <w:abstractNumId w:val="26"/>
  </w:num>
  <w:num w:numId="39" w16cid:durableId="1237127352">
    <w:abstractNumId w:val="9"/>
  </w:num>
  <w:num w:numId="40" w16cid:durableId="1241209332">
    <w:abstractNumId w:val="18"/>
  </w:num>
  <w:num w:numId="41" w16cid:durableId="783579290">
    <w:abstractNumId w:val="22"/>
  </w:num>
  <w:num w:numId="42" w16cid:durableId="871266501">
    <w:abstractNumId w:val="8"/>
  </w:num>
  <w:num w:numId="43" w16cid:durableId="15450188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5352B"/>
    <w:rsid w:val="00000910"/>
    <w:rsid w:val="00010ED7"/>
    <w:rsid w:val="00011328"/>
    <w:rsid w:val="0001170D"/>
    <w:rsid w:val="00012002"/>
    <w:rsid w:val="0001308A"/>
    <w:rsid w:val="00013F77"/>
    <w:rsid w:val="000143F9"/>
    <w:rsid w:val="00016155"/>
    <w:rsid w:val="00017A41"/>
    <w:rsid w:val="00021A6B"/>
    <w:rsid w:val="000226E2"/>
    <w:rsid w:val="0002383D"/>
    <w:rsid w:val="00030057"/>
    <w:rsid w:val="00034EA6"/>
    <w:rsid w:val="000379B4"/>
    <w:rsid w:val="00040921"/>
    <w:rsid w:val="00046AED"/>
    <w:rsid w:val="00051BE6"/>
    <w:rsid w:val="00057F02"/>
    <w:rsid w:val="000602FD"/>
    <w:rsid w:val="00066B6E"/>
    <w:rsid w:val="000749E2"/>
    <w:rsid w:val="00077FA6"/>
    <w:rsid w:val="00083453"/>
    <w:rsid w:val="00084756"/>
    <w:rsid w:val="0008589F"/>
    <w:rsid w:val="000868AB"/>
    <w:rsid w:val="00091868"/>
    <w:rsid w:val="00095E3D"/>
    <w:rsid w:val="00096F5F"/>
    <w:rsid w:val="00097C8D"/>
    <w:rsid w:val="000A0EF5"/>
    <w:rsid w:val="000A4FAD"/>
    <w:rsid w:val="000B4310"/>
    <w:rsid w:val="000B6F3A"/>
    <w:rsid w:val="000B6F79"/>
    <w:rsid w:val="000C5238"/>
    <w:rsid w:val="000C77F3"/>
    <w:rsid w:val="000D275B"/>
    <w:rsid w:val="000D3EA6"/>
    <w:rsid w:val="000D756E"/>
    <w:rsid w:val="000D7C5D"/>
    <w:rsid w:val="000E2665"/>
    <w:rsid w:val="000E3D87"/>
    <w:rsid w:val="000E77D9"/>
    <w:rsid w:val="000E7C49"/>
    <w:rsid w:val="000F0B3B"/>
    <w:rsid w:val="000F297E"/>
    <w:rsid w:val="001000FF"/>
    <w:rsid w:val="001015D2"/>
    <w:rsid w:val="0010275A"/>
    <w:rsid w:val="001053BE"/>
    <w:rsid w:val="001238F7"/>
    <w:rsid w:val="00123EB4"/>
    <w:rsid w:val="00127F70"/>
    <w:rsid w:val="001300ED"/>
    <w:rsid w:val="00131EF4"/>
    <w:rsid w:val="001333AB"/>
    <w:rsid w:val="00135FD2"/>
    <w:rsid w:val="00136EA8"/>
    <w:rsid w:val="00140162"/>
    <w:rsid w:val="00140CDF"/>
    <w:rsid w:val="00142280"/>
    <w:rsid w:val="001446FB"/>
    <w:rsid w:val="0014582C"/>
    <w:rsid w:val="00150905"/>
    <w:rsid w:val="00153546"/>
    <w:rsid w:val="00156F67"/>
    <w:rsid w:val="001644DE"/>
    <w:rsid w:val="00164863"/>
    <w:rsid w:val="0016708C"/>
    <w:rsid w:val="00167CC1"/>
    <w:rsid w:val="00171558"/>
    <w:rsid w:val="00171C92"/>
    <w:rsid w:val="00174C6E"/>
    <w:rsid w:val="00181E54"/>
    <w:rsid w:val="00187A14"/>
    <w:rsid w:val="00193280"/>
    <w:rsid w:val="00194374"/>
    <w:rsid w:val="00194B88"/>
    <w:rsid w:val="00196DC0"/>
    <w:rsid w:val="001A164E"/>
    <w:rsid w:val="001A1DEE"/>
    <w:rsid w:val="001A6A78"/>
    <w:rsid w:val="001A70E6"/>
    <w:rsid w:val="001B0DD4"/>
    <w:rsid w:val="001B4201"/>
    <w:rsid w:val="001B7BC9"/>
    <w:rsid w:val="001C3EC9"/>
    <w:rsid w:val="001D0AA4"/>
    <w:rsid w:val="001D1C5A"/>
    <w:rsid w:val="001D4162"/>
    <w:rsid w:val="001D42B5"/>
    <w:rsid w:val="001D454D"/>
    <w:rsid w:val="001D4D1D"/>
    <w:rsid w:val="001D79F5"/>
    <w:rsid w:val="001D7D44"/>
    <w:rsid w:val="001E6D92"/>
    <w:rsid w:val="001E70A2"/>
    <w:rsid w:val="001F1D1B"/>
    <w:rsid w:val="001F55FB"/>
    <w:rsid w:val="001F6183"/>
    <w:rsid w:val="00203DB4"/>
    <w:rsid w:val="00204633"/>
    <w:rsid w:val="00204880"/>
    <w:rsid w:val="0020634F"/>
    <w:rsid w:val="002135C6"/>
    <w:rsid w:val="00220396"/>
    <w:rsid w:val="00220997"/>
    <w:rsid w:val="00223F0E"/>
    <w:rsid w:val="00227C04"/>
    <w:rsid w:val="00231CE5"/>
    <w:rsid w:val="0023293F"/>
    <w:rsid w:val="00241CBF"/>
    <w:rsid w:val="002449B2"/>
    <w:rsid w:val="00253AE1"/>
    <w:rsid w:val="00254D39"/>
    <w:rsid w:val="00260B3D"/>
    <w:rsid w:val="00261387"/>
    <w:rsid w:val="00264D8E"/>
    <w:rsid w:val="002712D9"/>
    <w:rsid w:val="002750AE"/>
    <w:rsid w:val="00276E85"/>
    <w:rsid w:val="0028104A"/>
    <w:rsid w:val="00281C49"/>
    <w:rsid w:val="002876EC"/>
    <w:rsid w:val="002901FF"/>
    <w:rsid w:val="00293FF0"/>
    <w:rsid w:val="002A6EFE"/>
    <w:rsid w:val="002A7DC9"/>
    <w:rsid w:val="002B0D03"/>
    <w:rsid w:val="002B1728"/>
    <w:rsid w:val="002B6686"/>
    <w:rsid w:val="002C0191"/>
    <w:rsid w:val="002D21D7"/>
    <w:rsid w:val="002E5669"/>
    <w:rsid w:val="002E78F8"/>
    <w:rsid w:val="00300174"/>
    <w:rsid w:val="00300AB8"/>
    <w:rsid w:val="003019CA"/>
    <w:rsid w:val="00302057"/>
    <w:rsid w:val="00303ABB"/>
    <w:rsid w:val="00305AF0"/>
    <w:rsid w:val="00306E61"/>
    <w:rsid w:val="003107FE"/>
    <w:rsid w:val="003212ED"/>
    <w:rsid w:val="00323889"/>
    <w:rsid w:val="00323D8D"/>
    <w:rsid w:val="00323E4E"/>
    <w:rsid w:val="0032700F"/>
    <w:rsid w:val="003347E2"/>
    <w:rsid w:val="003444CA"/>
    <w:rsid w:val="00345313"/>
    <w:rsid w:val="00347EF1"/>
    <w:rsid w:val="00350F6C"/>
    <w:rsid w:val="00352C3D"/>
    <w:rsid w:val="003546AB"/>
    <w:rsid w:val="0035600C"/>
    <w:rsid w:val="003573FC"/>
    <w:rsid w:val="00361EBD"/>
    <w:rsid w:val="003727A9"/>
    <w:rsid w:val="00372CFA"/>
    <w:rsid w:val="0037535E"/>
    <w:rsid w:val="00376E7B"/>
    <w:rsid w:val="00386FDA"/>
    <w:rsid w:val="00390618"/>
    <w:rsid w:val="003937AB"/>
    <w:rsid w:val="003963F6"/>
    <w:rsid w:val="003A2EDE"/>
    <w:rsid w:val="003A4AED"/>
    <w:rsid w:val="003B0F37"/>
    <w:rsid w:val="003B0FD8"/>
    <w:rsid w:val="003B5B09"/>
    <w:rsid w:val="003C2D22"/>
    <w:rsid w:val="003C65EC"/>
    <w:rsid w:val="003C6C44"/>
    <w:rsid w:val="003C7FDA"/>
    <w:rsid w:val="003D044E"/>
    <w:rsid w:val="003D13B0"/>
    <w:rsid w:val="003D322F"/>
    <w:rsid w:val="003D36B2"/>
    <w:rsid w:val="003D4975"/>
    <w:rsid w:val="003D6693"/>
    <w:rsid w:val="003E16E5"/>
    <w:rsid w:val="003E38EB"/>
    <w:rsid w:val="003F24BF"/>
    <w:rsid w:val="004000D7"/>
    <w:rsid w:val="004017A5"/>
    <w:rsid w:val="004033FD"/>
    <w:rsid w:val="00403FF6"/>
    <w:rsid w:val="004058E7"/>
    <w:rsid w:val="00407DF5"/>
    <w:rsid w:val="00414C27"/>
    <w:rsid w:val="00421B00"/>
    <w:rsid w:val="00422049"/>
    <w:rsid w:val="0042583D"/>
    <w:rsid w:val="0042625E"/>
    <w:rsid w:val="00427E53"/>
    <w:rsid w:val="00430C63"/>
    <w:rsid w:val="00430EF1"/>
    <w:rsid w:val="004318E5"/>
    <w:rsid w:val="00435FDD"/>
    <w:rsid w:val="00436167"/>
    <w:rsid w:val="004408BD"/>
    <w:rsid w:val="0044154B"/>
    <w:rsid w:val="0044158A"/>
    <w:rsid w:val="00446B15"/>
    <w:rsid w:val="004523E7"/>
    <w:rsid w:val="00454412"/>
    <w:rsid w:val="00464F5B"/>
    <w:rsid w:val="00474E1A"/>
    <w:rsid w:val="00475C20"/>
    <w:rsid w:val="00477F3B"/>
    <w:rsid w:val="00481FAD"/>
    <w:rsid w:val="00484584"/>
    <w:rsid w:val="004900E0"/>
    <w:rsid w:val="00490FA9"/>
    <w:rsid w:val="00492CCC"/>
    <w:rsid w:val="004946ED"/>
    <w:rsid w:val="004A0400"/>
    <w:rsid w:val="004A1D58"/>
    <w:rsid w:val="004A7691"/>
    <w:rsid w:val="004A794C"/>
    <w:rsid w:val="004B1A70"/>
    <w:rsid w:val="004B24BD"/>
    <w:rsid w:val="004B65D9"/>
    <w:rsid w:val="004C0260"/>
    <w:rsid w:val="004C17FA"/>
    <w:rsid w:val="004D365B"/>
    <w:rsid w:val="004E093C"/>
    <w:rsid w:val="004E0E3E"/>
    <w:rsid w:val="004E2935"/>
    <w:rsid w:val="004E33E5"/>
    <w:rsid w:val="004E4B40"/>
    <w:rsid w:val="004E5A94"/>
    <w:rsid w:val="004F4C68"/>
    <w:rsid w:val="004F4E66"/>
    <w:rsid w:val="00504E43"/>
    <w:rsid w:val="005054C0"/>
    <w:rsid w:val="005075A0"/>
    <w:rsid w:val="00507BE9"/>
    <w:rsid w:val="0051506E"/>
    <w:rsid w:val="0051732E"/>
    <w:rsid w:val="00531838"/>
    <w:rsid w:val="00533040"/>
    <w:rsid w:val="00533DB9"/>
    <w:rsid w:val="005367E8"/>
    <w:rsid w:val="00543BEE"/>
    <w:rsid w:val="00544FA8"/>
    <w:rsid w:val="005459AB"/>
    <w:rsid w:val="005517ED"/>
    <w:rsid w:val="00551B43"/>
    <w:rsid w:val="00553930"/>
    <w:rsid w:val="0056674C"/>
    <w:rsid w:val="0056713C"/>
    <w:rsid w:val="00573FD3"/>
    <w:rsid w:val="00576C92"/>
    <w:rsid w:val="00577CAB"/>
    <w:rsid w:val="005841EA"/>
    <w:rsid w:val="005862A1"/>
    <w:rsid w:val="005902AB"/>
    <w:rsid w:val="005915A9"/>
    <w:rsid w:val="005A2F56"/>
    <w:rsid w:val="005A377C"/>
    <w:rsid w:val="005A4905"/>
    <w:rsid w:val="005A4BE3"/>
    <w:rsid w:val="005AFF33"/>
    <w:rsid w:val="005C07D5"/>
    <w:rsid w:val="005C3A53"/>
    <w:rsid w:val="005C6B08"/>
    <w:rsid w:val="005C71E9"/>
    <w:rsid w:val="005D08E9"/>
    <w:rsid w:val="005D0B05"/>
    <w:rsid w:val="005D30FA"/>
    <w:rsid w:val="005E2033"/>
    <w:rsid w:val="005E3839"/>
    <w:rsid w:val="005F17FD"/>
    <w:rsid w:val="005F2C47"/>
    <w:rsid w:val="005F30B1"/>
    <w:rsid w:val="005F632A"/>
    <w:rsid w:val="005F7051"/>
    <w:rsid w:val="0060597B"/>
    <w:rsid w:val="00607517"/>
    <w:rsid w:val="00610745"/>
    <w:rsid w:val="00612186"/>
    <w:rsid w:val="0061256A"/>
    <w:rsid w:val="0061344D"/>
    <w:rsid w:val="006136C7"/>
    <w:rsid w:val="00613CC3"/>
    <w:rsid w:val="006218AD"/>
    <w:rsid w:val="00630C67"/>
    <w:rsid w:val="00632587"/>
    <w:rsid w:val="006422C2"/>
    <w:rsid w:val="00642E19"/>
    <w:rsid w:val="006443C5"/>
    <w:rsid w:val="006455ED"/>
    <w:rsid w:val="00645D80"/>
    <w:rsid w:val="00647AE6"/>
    <w:rsid w:val="00647D05"/>
    <w:rsid w:val="00654D01"/>
    <w:rsid w:val="00656BC9"/>
    <w:rsid w:val="00657B5B"/>
    <w:rsid w:val="00660CEF"/>
    <w:rsid w:val="00664E3C"/>
    <w:rsid w:val="006710F8"/>
    <w:rsid w:val="00672DDD"/>
    <w:rsid w:val="00677F6D"/>
    <w:rsid w:val="0068001D"/>
    <w:rsid w:val="00680BDF"/>
    <w:rsid w:val="00682D35"/>
    <w:rsid w:val="0068454A"/>
    <w:rsid w:val="00686C9E"/>
    <w:rsid w:val="00690365"/>
    <w:rsid w:val="006906C3"/>
    <w:rsid w:val="006921BE"/>
    <w:rsid w:val="006A0B64"/>
    <w:rsid w:val="006A4100"/>
    <w:rsid w:val="006A7BD4"/>
    <w:rsid w:val="006B3FAE"/>
    <w:rsid w:val="006B4DCD"/>
    <w:rsid w:val="006B5E89"/>
    <w:rsid w:val="006C125A"/>
    <w:rsid w:val="006C3BF7"/>
    <w:rsid w:val="006C59F0"/>
    <w:rsid w:val="006C7D71"/>
    <w:rsid w:val="006D175B"/>
    <w:rsid w:val="006D2F2C"/>
    <w:rsid w:val="006D59F0"/>
    <w:rsid w:val="006D5D8B"/>
    <w:rsid w:val="006D643F"/>
    <w:rsid w:val="006D77D7"/>
    <w:rsid w:val="006D7D8E"/>
    <w:rsid w:val="006E1FBD"/>
    <w:rsid w:val="006E2CFD"/>
    <w:rsid w:val="006E6719"/>
    <w:rsid w:val="006F3DDC"/>
    <w:rsid w:val="006F5D4F"/>
    <w:rsid w:val="00701D63"/>
    <w:rsid w:val="007024EE"/>
    <w:rsid w:val="00703B73"/>
    <w:rsid w:val="007040B8"/>
    <w:rsid w:val="007054FA"/>
    <w:rsid w:val="00710ED3"/>
    <w:rsid w:val="00714061"/>
    <w:rsid w:val="00715DA0"/>
    <w:rsid w:val="00720EC5"/>
    <w:rsid w:val="00721C88"/>
    <w:rsid w:val="00727D52"/>
    <w:rsid w:val="00732542"/>
    <w:rsid w:val="00732886"/>
    <w:rsid w:val="00736BC7"/>
    <w:rsid w:val="007501ED"/>
    <w:rsid w:val="007544A4"/>
    <w:rsid w:val="00755F09"/>
    <w:rsid w:val="0076031D"/>
    <w:rsid w:val="00762778"/>
    <w:rsid w:val="007662A8"/>
    <w:rsid w:val="00767F99"/>
    <w:rsid w:val="00776921"/>
    <w:rsid w:val="007855BC"/>
    <w:rsid w:val="007908F4"/>
    <w:rsid w:val="00794569"/>
    <w:rsid w:val="00797003"/>
    <w:rsid w:val="00797842"/>
    <w:rsid w:val="007A0AF5"/>
    <w:rsid w:val="007A0B56"/>
    <w:rsid w:val="007A73D6"/>
    <w:rsid w:val="007B571C"/>
    <w:rsid w:val="007B79B2"/>
    <w:rsid w:val="007C370A"/>
    <w:rsid w:val="007C3C3E"/>
    <w:rsid w:val="007C4B20"/>
    <w:rsid w:val="007D48DD"/>
    <w:rsid w:val="007D4D6A"/>
    <w:rsid w:val="007D5D02"/>
    <w:rsid w:val="007D7DC2"/>
    <w:rsid w:val="007E32E1"/>
    <w:rsid w:val="007E494F"/>
    <w:rsid w:val="007E7122"/>
    <w:rsid w:val="007F0D16"/>
    <w:rsid w:val="007F2C48"/>
    <w:rsid w:val="007F361B"/>
    <w:rsid w:val="00800505"/>
    <w:rsid w:val="00803DB1"/>
    <w:rsid w:val="008063A3"/>
    <w:rsid w:val="008125AB"/>
    <w:rsid w:val="00813699"/>
    <w:rsid w:val="00814640"/>
    <w:rsid w:val="00822EBC"/>
    <w:rsid w:val="008235EF"/>
    <w:rsid w:val="00823CF9"/>
    <w:rsid w:val="00827664"/>
    <w:rsid w:val="00831E89"/>
    <w:rsid w:val="0083291A"/>
    <w:rsid w:val="00832BCE"/>
    <w:rsid w:val="00834205"/>
    <w:rsid w:val="00844498"/>
    <w:rsid w:val="00850442"/>
    <w:rsid w:val="00855338"/>
    <w:rsid w:val="00861C03"/>
    <w:rsid w:val="00870E94"/>
    <w:rsid w:val="008721E6"/>
    <w:rsid w:val="008760D2"/>
    <w:rsid w:val="0088142B"/>
    <w:rsid w:val="0088167E"/>
    <w:rsid w:val="00884B6F"/>
    <w:rsid w:val="00886239"/>
    <w:rsid w:val="00886A08"/>
    <w:rsid w:val="00887040"/>
    <w:rsid w:val="00893686"/>
    <w:rsid w:val="00894692"/>
    <w:rsid w:val="0089576D"/>
    <w:rsid w:val="00897CE9"/>
    <w:rsid w:val="008A22C6"/>
    <w:rsid w:val="008A431D"/>
    <w:rsid w:val="008A5953"/>
    <w:rsid w:val="008A7C00"/>
    <w:rsid w:val="008B097B"/>
    <w:rsid w:val="008B7050"/>
    <w:rsid w:val="008B7339"/>
    <w:rsid w:val="008C3597"/>
    <w:rsid w:val="008D0484"/>
    <w:rsid w:val="008D3911"/>
    <w:rsid w:val="008E19E6"/>
    <w:rsid w:val="008E53F9"/>
    <w:rsid w:val="008E5AA5"/>
    <w:rsid w:val="008F6FF3"/>
    <w:rsid w:val="00905D66"/>
    <w:rsid w:val="00912B87"/>
    <w:rsid w:val="0091456A"/>
    <w:rsid w:val="00915E4D"/>
    <w:rsid w:val="00917BD5"/>
    <w:rsid w:val="00923AAD"/>
    <w:rsid w:val="009315B3"/>
    <w:rsid w:val="00934361"/>
    <w:rsid w:val="00934CB3"/>
    <w:rsid w:val="00945A7F"/>
    <w:rsid w:val="00952513"/>
    <w:rsid w:val="00952D81"/>
    <w:rsid w:val="00962BDE"/>
    <w:rsid w:val="00972836"/>
    <w:rsid w:val="00972D67"/>
    <w:rsid w:val="00973343"/>
    <w:rsid w:val="00975E32"/>
    <w:rsid w:val="009811F0"/>
    <w:rsid w:val="00981CB4"/>
    <w:rsid w:val="0098341D"/>
    <w:rsid w:val="009913B5"/>
    <w:rsid w:val="0099305F"/>
    <w:rsid w:val="0099496A"/>
    <w:rsid w:val="00995F96"/>
    <w:rsid w:val="00997750"/>
    <w:rsid w:val="009A034C"/>
    <w:rsid w:val="009A1382"/>
    <w:rsid w:val="009A13DE"/>
    <w:rsid w:val="009A58AF"/>
    <w:rsid w:val="009B505B"/>
    <w:rsid w:val="009B6D7D"/>
    <w:rsid w:val="009B9EBA"/>
    <w:rsid w:val="009D00C9"/>
    <w:rsid w:val="009D2B6E"/>
    <w:rsid w:val="009D5F01"/>
    <w:rsid w:val="009E1330"/>
    <w:rsid w:val="009E414F"/>
    <w:rsid w:val="009E4996"/>
    <w:rsid w:val="00A00C49"/>
    <w:rsid w:val="00A0113D"/>
    <w:rsid w:val="00A03168"/>
    <w:rsid w:val="00A03B0B"/>
    <w:rsid w:val="00A03B1B"/>
    <w:rsid w:val="00A04F4B"/>
    <w:rsid w:val="00A05AD8"/>
    <w:rsid w:val="00A10ACD"/>
    <w:rsid w:val="00A21946"/>
    <w:rsid w:val="00A338ED"/>
    <w:rsid w:val="00A34F36"/>
    <w:rsid w:val="00A35088"/>
    <w:rsid w:val="00A47862"/>
    <w:rsid w:val="00A47F95"/>
    <w:rsid w:val="00A5129B"/>
    <w:rsid w:val="00A55562"/>
    <w:rsid w:val="00A55857"/>
    <w:rsid w:val="00A57C83"/>
    <w:rsid w:val="00A64DF2"/>
    <w:rsid w:val="00A712BE"/>
    <w:rsid w:val="00A7278C"/>
    <w:rsid w:val="00A72E28"/>
    <w:rsid w:val="00A72F00"/>
    <w:rsid w:val="00A77716"/>
    <w:rsid w:val="00A77E8C"/>
    <w:rsid w:val="00A80016"/>
    <w:rsid w:val="00A8001A"/>
    <w:rsid w:val="00A82E73"/>
    <w:rsid w:val="00A84ADA"/>
    <w:rsid w:val="00A84DF2"/>
    <w:rsid w:val="00A90062"/>
    <w:rsid w:val="00A94CA6"/>
    <w:rsid w:val="00A96E5C"/>
    <w:rsid w:val="00A9741C"/>
    <w:rsid w:val="00AA0474"/>
    <w:rsid w:val="00AA3A70"/>
    <w:rsid w:val="00AA597D"/>
    <w:rsid w:val="00AA685B"/>
    <w:rsid w:val="00AB39C6"/>
    <w:rsid w:val="00AB7677"/>
    <w:rsid w:val="00AC06F1"/>
    <w:rsid w:val="00AC2DB6"/>
    <w:rsid w:val="00AD1414"/>
    <w:rsid w:val="00AD1E2B"/>
    <w:rsid w:val="00AD2747"/>
    <w:rsid w:val="00AD4333"/>
    <w:rsid w:val="00AE0696"/>
    <w:rsid w:val="00AE334F"/>
    <w:rsid w:val="00AE392F"/>
    <w:rsid w:val="00AE4986"/>
    <w:rsid w:val="00AE7A23"/>
    <w:rsid w:val="00AE7A5F"/>
    <w:rsid w:val="00AF58D7"/>
    <w:rsid w:val="00B03C31"/>
    <w:rsid w:val="00B06F70"/>
    <w:rsid w:val="00B1204C"/>
    <w:rsid w:val="00B143BB"/>
    <w:rsid w:val="00B211B5"/>
    <w:rsid w:val="00B23171"/>
    <w:rsid w:val="00B24B87"/>
    <w:rsid w:val="00B2627F"/>
    <w:rsid w:val="00B26C5C"/>
    <w:rsid w:val="00B26C7C"/>
    <w:rsid w:val="00B302A7"/>
    <w:rsid w:val="00B313A3"/>
    <w:rsid w:val="00B32559"/>
    <w:rsid w:val="00B33550"/>
    <w:rsid w:val="00B363BE"/>
    <w:rsid w:val="00B45280"/>
    <w:rsid w:val="00B457F0"/>
    <w:rsid w:val="00B54BF8"/>
    <w:rsid w:val="00B60633"/>
    <w:rsid w:val="00B606D5"/>
    <w:rsid w:val="00B667E1"/>
    <w:rsid w:val="00B72DC3"/>
    <w:rsid w:val="00B7603C"/>
    <w:rsid w:val="00B77EFE"/>
    <w:rsid w:val="00B81D80"/>
    <w:rsid w:val="00B86B4F"/>
    <w:rsid w:val="00B9189C"/>
    <w:rsid w:val="00B93177"/>
    <w:rsid w:val="00B95F08"/>
    <w:rsid w:val="00B96DA5"/>
    <w:rsid w:val="00BA073E"/>
    <w:rsid w:val="00BA1489"/>
    <w:rsid w:val="00BA1C28"/>
    <w:rsid w:val="00BA372C"/>
    <w:rsid w:val="00BA3783"/>
    <w:rsid w:val="00BA4F0D"/>
    <w:rsid w:val="00BA7D1D"/>
    <w:rsid w:val="00BB7F79"/>
    <w:rsid w:val="00BC19CC"/>
    <w:rsid w:val="00BC7ECA"/>
    <w:rsid w:val="00BD1DF6"/>
    <w:rsid w:val="00BD2E14"/>
    <w:rsid w:val="00BD3A53"/>
    <w:rsid w:val="00BD4780"/>
    <w:rsid w:val="00BD4E74"/>
    <w:rsid w:val="00BE34C2"/>
    <w:rsid w:val="00BE5C4E"/>
    <w:rsid w:val="00BE6212"/>
    <w:rsid w:val="00BF477F"/>
    <w:rsid w:val="00BF7512"/>
    <w:rsid w:val="00BF7813"/>
    <w:rsid w:val="00C02DA1"/>
    <w:rsid w:val="00C07F80"/>
    <w:rsid w:val="00C1186E"/>
    <w:rsid w:val="00C11A36"/>
    <w:rsid w:val="00C12543"/>
    <w:rsid w:val="00C16B7B"/>
    <w:rsid w:val="00C2163D"/>
    <w:rsid w:val="00C21DF2"/>
    <w:rsid w:val="00C24B18"/>
    <w:rsid w:val="00C276B6"/>
    <w:rsid w:val="00C33C95"/>
    <w:rsid w:val="00C3442F"/>
    <w:rsid w:val="00C35E12"/>
    <w:rsid w:val="00C3618D"/>
    <w:rsid w:val="00C41255"/>
    <w:rsid w:val="00C414FD"/>
    <w:rsid w:val="00C417C0"/>
    <w:rsid w:val="00C46858"/>
    <w:rsid w:val="00C469E2"/>
    <w:rsid w:val="00C51850"/>
    <w:rsid w:val="00C53CB6"/>
    <w:rsid w:val="00C54DA7"/>
    <w:rsid w:val="00C57881"/>
    <w:rsid w:val="00C6184A"/>
    <w:rsid w:val="00C632F1"/>
    <w:rsid w:val="00C65594"/>
    <w:rsid w:val="00C66269"/>
    <w:rsid w:val="00C67DE0"/>
    <w:rsid w:val="00C774EB"/>
    <w:rsid w:val="00C802FD"/>
    <w:rsid w:val="00C831E3"/>
    <w:rsid w:val="00C87A41"/>
    <w:rsid w:val="00C9091C"/>
    <w:rsid w:val="00C96660"/>
    <w:rsid w:val="00CA160A"/>
    <w:rsid w:val="00CA25BE"/>
    <w:rsid w:val="00CA3337"/>
    <w:rsid w:val="00CA37C9"/>
    <w:rsid w:val="00CB0310"/>
    <w:rsid w:val="00CB309C"/>
    <w:rsid w:val="00CB4F2B"/>
    <w:rsid w:val="00CC0350"/>
    <w:rsid w:val="00CC18E2"/>
    <w:rsid w:val="00CD0D49"/>
    <w:rsid w:val="00CD0F5B"/>
    <w:rsid w:val="00CD5ADD"/>
    <w:rsid w:val="00CD5C9B"/>
    <w:rsid w:val="00CE0213"/>
    <w:rsid w:val="00CE2920"/>
    <w:rsid w:val="00CE3EF1"/>
    <w:rsid w:val="00CE72A3"/>
    <w:rsid w:val="00CF0F5A"/>
    <w:rsid w:val="00CF3198"/>
    <w:rsid w:val="00D00FF3"/>
    <w:rsid w:val="00D01286"/>
    <w:rsid w:val="00D06602"/>
    <w:rsid w:val="00D216F9"/>
    <w:rsid w:val="00D217D5"/>
    <w:rsid w:val="00D27037"/>
    <w:rsid w:val="00D271D4"/>
    <w:rsid w:val="00D317C9"/>
    <w:rsid w:val="00D318C4"/>
    <w:rsid w:val="00D31BE0"/>
    <w:rsid w:val="00D34224"/>
    <w:rsid w:val="00D34DBE"/>
    <w:rsid w:val="00D36E78"/>
    <w:rsid w:val="00D37123"/>
    <w:rsid w:val="00D50285"/>
    <w:rsid w:val="00D516C4"/>
    <w:rsid w:val="00D55D5D"/>
    <w:rsid w:val="00D63CD7"/>
    <w:rsid w:val="00D67339"/>
    <w:rsid w:val="00D67FC6"/>
    <w:rsid w:val="00D84735"/>
    <w:rsid w:val="00D86EAB"/>
    <w:rsid w:val="00D87395"/>
    <w:rsid w:val="00D91487"/>
    <w:rsid w:val="00D9632C"/>
    <w:rsid w:val="00D97D8E"/>
    <w:rsid w:val="00DA081E"/>
    <w:rsid w:val="00DA16BD"/>
    <w:rsid w:val="00DA3564"/>
    <w:rsid w:val="00DA43C1"/>
    <w:rsid w:val="00DA516C"/>
    <w:rsid w:val="00DA692E"/>
    <w:rsid w:val="00DB2038"/>
    <w:rsid w:val="00DB4C9F"/>
    <w:rsid w:val="00DB5E74"/>
    <w:rsid w:val="00DC2722"/>
    <w:rsid w:val="00DC29B4"/>
    <w:rsid w:val="00DC50EE"/>
    <w:rsid w:val="00DC6F9E"/>
    <w:rsid w:val="00DD137E"/>
    <w:rsid w:val="00DD4D09"/>
    <w:rsid w:val="00DE5AAF"/>
    <w:rsid w:val="00DE62FD"/>
    <w:rsid w:val="00DF18E1"/>
    <w:rsid w:val="00DF4188"/>
    <w:rsid w:val="00DF70AD"/>
    <w:rsid w:val="00E126C0"/>
    <w:rsid w:val="00E1322F"/>
    <w:rsid w:val="00E13A5D"/>
    <w:rsid w:val="00E203D3"/>
    <w:rsid w:val="00E228BC"/>
    <w:rsid w:val="00E22CB2"/>
    <w:rsid w:val="00E22E3E"/>
    <w:rsid w:val="00E264A2"/>
    <w:rsid w:val="00E26E1A"/>
    <w:rsid w:val="00E31152"/>
    <w:rsid w:val="00E32CAF"/>
    <w:rsid w:val="00E33637"/>
    <w:rsid w:val="00E35C85"/>
    <w:rsid w:val="00E37216"/>
    <w:rsid w:val="00E44C31"/>
    <w:rsid w:val="00E47073"/>
    <w:rsid w:val="00E519AD"/>
    <w:rsid w:val="00E52069"/>
    <w:rsid w:val="00E53B4F"/>
    <w:rsid w:val="00E61BDB"/>
    <w:rsid w:val="00E641F2"/>
    <w:rsid w:val="00E7147B"/>
    <w:rsid w:val="00E741CB"/>
    <w:rsid w:val="00E761D8"/>
    <w:rsid w:val="00E80504"/>
    <w:rsid w:val="00E81640"/>
    <w:rsid w:val="00E81FC4"/>
    <w:rsid w:val="00E83C9A"/>
    <w:rsid w:val="00E873CD"/>
    <w:rsid w:val="00E87F8B"/>
    <w:rsid w:val="00E91601"/>
    <w:rsid w:val="00E95057"/>
    <w:rsid w:val="00E979FC"/>
    <w:rsid w:val="00EB014B"/>
    <w:rsid w:val="00EB1B1C"/>
    <w:rsid w:val="00EB3302"/>
    <w:rsid w:val="00EB3980"/>
    <w:rsid w:val="00EB4885"/>
    <w:rsid w:val="00EB4B66"/>
    <w:rsid w:val="00EC4542"/>
    <w:rsid w:val="00ED1F94"/>
    <w:rsid w:val="00ED2BF9"/>
    <w:rsid w:val="00ED5BA0"/>
    <w:rsid w:val="00EE3195"/>
    <w:rsid w:val="00F0299A"/>
    <w:rsid w:val="00F02FEC"/>
    <w:rsid w:val="00F04CCA"/>
    <w:rsid w:val="00F11322"/>
    <w:rsid w:val="00F13640"/>
    <w:rsid w:val="00F16582"/>
    <w:rsid w:val="00F17EA2"/>
    <w:rsid w:val="00F22EED"/>
    <w:rsid w:val="00F23C37"/>
    <w:rsid w:val="00F241AE"/>
    <w:rsid w:val="00F260A0"/>
    <w:rsid w:val="00F325E8"/>
    <w:rsid w:val="00F3295F"/>
    <w:rsid w:val="00F41C45"/>
    <w:rsid w:val="00F44040"/>
    <w:rsid w:val="00F47D58"/>
    <w:rsid w:val="00F5352B"/>
    <w:rsid w:val="00F60BD9"/>
    <w:rsid w:val="00F60CA1"/>
    <w:rsid w:val="00F616BA"/>
    <w:rsid w:val="00F61C0C"/>
    <w:rsid w:val="00F61EA0"/>
    <w:rsid w:val="00F66E8D"/>
    <w:rsid w:val="00F754C0"/>
    <w:rsid w:val="00F75B18"/>
    <w:rsid w:val="00F776C6"/>
    <w:rsid w:val="00F8220B"/>
    <w:rsid w:val="00F82D34"/>
    <w:rsid w:val="00F85257"/>
    <w:rsid w:val="00F870DC"/>
    <w:rsid w:val="00F90475"/>
    <w:rsid w:val="00F92790"/>
    <w:rsid w:val="00F946CA"/>
    <w:rsid w:val="00F97293"/>
    <w:rsid w:val="00FA04B9"/>
    <w:rsid w:val="00FA0859"/>
    <w:rsid w:val="00FA6264"/>
    <w:rsid w:val="00FB0871"/>
    <w:rsid w:val="00FB3756"/>
    <w:rsid w:val="00FB4C73"/>
    <w:rsid w:val="00FB4E49"/>
    <w:rsid w:val="00FB6577"/>
    <w:rsid w:val="00FB76FB"/>
    <w:rsid w:val="00FC4763"/>
    <w:rsid w:val="00FC4842"/>
    <w:rsid w:val="00FC72EA"/>
    <w:rsid w:val="00FD21B8"/>
    <w:rsid w:val="00FD3A85"/>
    <w:rsid w:val="00FD58BB"/>
    <w:rsid w:val="00FD6B61"/>
    <w:rsid w:val="00FE284E"/>
    <w:rsid w:val="00FE29AE"/>
    <w:rsid w:val="00FE300C"/>
    <w:rsid w:val="00FE411B"/>
    <w:rsid w:val="00FE528A"/>
    <w:rsid w:val="00FF05C3"/>
    <w:rsid w:val="00FF47AE"/>
    <w:rsid w:val="0124C677"/>
    <w:rsid w:val="01696B38"/>
    <w:rsid w:val="026C2340"/>
    <w:rsid w:val="03109E3C"/>
    <w:rsid w:val="03317B40"/>
    <w:rsid w:val="033E440A"/>
    <w:rsid w:val="034586BB"/>
    <w:rsid w:val="034DC86B"/>
    <w:rsid w:val="04BF7B31"/>
    <w:rsid w:val="04EBBCAA"/>
    <w:rsid w:val="05075D21"/>
    <w:rsid w:val="05616D6F"/>
    <w:rsid w:val="0580A8A3"/>
    <w:rsid w:val="05863A09"/>
    <w:rsid w:val="06055AC8"/>
    <w:rsid w:val="0658231E"/>
    <w:rsid w:val="06A70B6A"/>
    <w:rsid w:val="071777DE"/>
    <w:rsid w:val="081D0D91"/>
    <w:rsid w:val="083B4360"/>
    <w:rsid w:val="0840434C"/>
    <w:rsid w:val="0888C3FA"/>
    <w:rsid w:val="094BB639"/>
    <w:rsid w:val="097AA619"/>
    <w:rsid w:val="09875FB6"/>
    <w:rsid w:val="09AF021F"/>
    <w:rsid w:val="09D8023B"/>
    <w:rsid w:val="0A8DC3AB"/>
    <w:rsid w:val="0AAA8743"/>
    <w:rsid w:val="0B3C7A2A"/>
    <w:rsid w:val="0B4C2CA7"/>
    <w:rsid w:val="0BA42638"/>
    <w:rsid w:val="0BD61A6E"/>
    <w:rsid w:val="0BDF788D"/>
    <w:rsid w:val="0C528CF3"/>
    <w:rsid w:val="0CAD6003"/>
    <w:rsid w:val="0CB3E037"/>
    <w:rsid w:val="0D71F859"/>
    <w:rsid w:val="0DA9228B"/>
    <w:rsid w:val="0E465CD6"/>
    <w:rsid w:val="0E78A2E0"/>
    <w:rsid w:val="0F0B5F34"/>
    <w:rsid w:val="0F7141F1"/>
    <w:rsid w:val="0FD4AB1A"/>
    <w:rsid w:val="0FF0DD50"/>
    <w:rsid w:val="102348FE"/>
    <w:rsid w:val="10353CA2"/>
    <w:rsid w:val="1048EF36"/>
    <w:rsid w:val="107BBA59"/>
    <w:rsid w:val="1299628A"/>
    <w:rsid w:val="129BEF04"/>
    <w:rsid w:val="12B9F645"/>
    <w:rsid w:val="13749F2B"/>
    <w:rsid w:val="14026518"/>
    <w:rsid w:val="141B3ACA"/>
    <w:rsid w:val="14247388"/>
    <w:rsid w:val="14337AC4"/>
    <w:rsid w:val="1446EC9E"/>
    <w:rsid w:val="149B0127"/>
    <w:rsid w:val="153FD682"/>
    <w:rsid w:val="15544CAE"/>
    <w:rsid w:val="15890591"/>
    <w:rsid w:val="1593ECC8"/>
    <w:rsid w:val="15E443F5"/>
    <w:rsid w:val="15FE9A14"/>
    <w:rsid w:val="16660746"/>
    <w:rsid w:val="16AC39F2"/>
    <w:rsid w:val="16C9F041"/>
    <w:rsid w:val="17529EB0"/>
    <w:rsid w:val="18211014"/>
    <w:rsid w:val="1853CBB3"/>
    <w:rsid w:val="1855D6D2"/>
    <w:rsid w:val="1899BC32"/>
    <w:rsid w:val="1920955E"/>
    <w:rsid w:val="1A04E76F"/>
    <w:rsid w:val="1A14E9C7"/>
    <w:rsid w:val="1A3EC40B"/>
    <w:rsid w:val="1A420F75"/>
    <w:rsid w:val="1A76A329"/>
    <w:rsid w:val="1B8B22E2"/>
    <w:rsid w:val="1BDF593D"/>
    <w:rsid w:val="1C589DB9"/>
    <w:rsid w:val="1D04DB44"/>
    <w:rsid w:val="1E3940C9"/>
    <w:rsid w:val="1E600054"/>
    <w:rsid w:val="2011A001"/>
    <w:rsid w:val="2133D83B"/>
    <w:rsid w:val="21C53035"/>
    <w:rsid w:val="21CE6A1E"/>
    <w:rsid w:val="21E69B78"/>
    <w:rsid w:val="22249899"/>
    <w:rsid w:val="229B1A49"/>
    <w:rsid w:val="23EAD83E"/>
    <w:rsid w:val="2491BE21"/>
    <w:rsid w:val="24B52DCC"/>
    <w:rsid w:val="250A85FE"/>
    <w:rsid w:val="2515C462"/>
    <w:rsid w:val="266DD386"/>
    <w:rsid w:val="27358172"/>
    <w:rsid w:val="28555EC3"/>
    <w:rsid w:val="2945E12B"/>
    <w:rsid w:val="29C5379A"/>
    <w:rsid w:val="29CD4A4F"/>
    <w:rsid w:val="2A7C9528"/>
    <w:rsid w:val="2B23C140"/>
    <w:rsid w:val="2B52810D"/>
    <w:rsid w:val="2C44777C"/>
    <w:rsid w:val="2C64E39A"/>
    <w:rsid w:val="2C6F5BD7"/>
    <w:rsid w:val="2D0E90D2"/>
    <w:rsid w:val="2D10E156"/>
    <w:rsid w:val="2D5DEDBB"/>
    <w:rsid w:val="2DF874BA"/>
    <w:rsid w:val="2EDB14B8"/>
    <w:rsid w:val="2EE4BC74"/>
    <w:rsid w:val="2F0E3918"/>
    <w:rsid w:val="2FAF1039"/>
    <w:rsid w:val="303271C3"/>
    <w:rsid w:val="308FF7F5"/>
    <w:rsid w:val="30ACFED9"/>
    <w:rsid w:val="31329B7D"/>
    <w:rsid w:val="31EB56EB"/>
    <w:rsid w:val="31F8C96D"/>
    <w:rsid w:val="33CF0FC9"/>
    <w:rsid w:val="3533752B"/>
    <w:rsid w:val="35FDA623"/>
    <w:rsid w:val="36002D87"/>
    <w:rsid w:val="364FF55A"/>
    <w:rsid w:val="36602FF5"/>
    <w:rsid w:val="366EEB5A"/>
    <w:rsid w:val="368B6CA9"/>
    <w:rsid w:val="36F94D32"/>
    <w:rsid w:val="37BEB106"/>
    <w:rsid w:val="38AE0850"/>
    <w:rsid w:val="3A0A9119"/>
    <w:rsid w:val="3A6917C7"/>
    <w:rsid w:val="3A972A7F"/>
    <w:rsid w:val="3AA94182"/>
    <w:rsid w:val="3AF0F0C1"/>
    <w:rsid w:val="3AFCA63E"/>
    <w:rsid w:val="3B4E1FB0"/>
    <w:rsid w:val="3B5064EA"/>
    <w:rsid w:val="3B71CFB3"/>
    <w:rsid w:val="3B73C0B7"/>
    <w:rsid w:val="3BECD6C8"/>
    <w:rsid w:val="3C50BF61"/>
    <w:rsid w:val="3CD16659"/>
    <w:rsid w:val="3D200B20"/>
    <w:rsid w:val="3D2542E9"/>
    <w:rsid w:val="3D4B92C7"/>
    <w:rsid w:val="3D54E3A0"/>
    <w:rsid w:val="3DACB7B4"/>
    <w:rsid w:val="3DD25D0F"/>
    <w:rsid w:val="3E09B7F3"/>
    <w:rsid w:val="3E4F165C"/>
    <w:rsid w:val="3E8184C8"/>
    <w:rsid w:val="3E851F21"/>
    <w:rsid w:val="3F363D2C"/>
    <w:rsid w:val="3F8408C7"/>
    <w:rsid w:val="3FAEE6F3"/>
    <w:rsid w:val="3FB978B4"/>
    <w:rsid w:val="404046C9"/>
    <w:rsid w:val="406AAABA"/>
    <w:rsid w:val="41389A19"/>
    <w:rsid w:val="41BD6860"/>
    <w:rsid w:val="42EA6A80"/>
    <w:rsid w:val="44BB3197"/>
    <w:rsid w:val="44CB3F9D"/>
    <w:rsid w:val="44D7715F"/>
    <w:rsid w:val="44DAE28C"/>
    <w:rsid w:val="46503A67"/>
    <w:rsid w:val="46B78E26"/>
    <w:rsid w:val="46E50254"/>
    <w:rsid w:val="47367C05"/>
    <w:rsid w:val="47528BFA"/>
    <w:rsid w:val="478ED5A0"/>
    <w:rsid w:val="479B9B98"/>
    <w:rsid w:val="48AF66A4"/>
    <w:rsid w:val="48E77B7C"/>
    <w:rsid w:val="49C856FF"/>
    <w:rsid w:val="4A8F82BD"/>
    <w:rsid w:val="4C209A44"/>
    <w:rsid w:val="4C6C4CE6"/>
    <w:rsid w:val="4C9255F9"/>
    <w:rsid w:val="4D419504"/>
    <w:rsid w:val="4D6745DA"/>
    <w:rsid w:val="4E412A7A"/>
    <w:rsid w:val="4E681CF3"/>
    <w:rsid w:val="4E8E780B"/>
    <w:rsid w:val="4F044ABF"/>
    <w:rsid w:val="4F5B2939"/>
    <w:rsid w:val="50D2B82C"/>
    <w:rsid w:val="51A6807B"/>
    <w:rsid w:val="51DD484F"/>
    <w:rsid w:val="52D0DCD1"/>
    <w:rsid w:val="5385F177"/>
    <w:rsid w:val="53A3E3B1"/>
    <w:rsid w:val="54B15925"/>
    <w:rsid w:val="5525720F"/>
    <w:rsid w:val="55F542B0"/>
    <w:rsid w:val="56B27E27"/>
    <w:rsid w:val="57310AA1"/>
    <w:rsid w:val="573BE00D"/>
    <w:rsid w:val="574E3BE5"/>
    <w:rsid w:val="576F4778"/>
    <w:rsid w:val="5879514C"/>
    <w:rsid w:val="58A6902E"/>
    <w:rsid w:val="5935E076"/>
    <w:rsid w:val="594F273E"/>
    <w:rsid w:val="5A0D345E"/>
    <w:rsid w:val="5A14E331"/>
    <w:rsid w:val="5A171502"/>
    <w:rsid w:val="5A1F244C"/>
    <w:rsid w:val="5AA8F68D"/>
    <w:rsid w:val="5BE79389"/>
    <w:rsid w:val="5CF5DB81"/>
    <w:rsid w:val="5E930C8D"/>
    <w:rsid w:val="5F422AA4"/>
    <w:rsid w:val="5F5EA44F"/>
    <w:rsid w:val="5FF1AEAA"/>
    <w:rsid w:val="60067E02"/>
    <w:rsid w:val="6022AC16"/>
    <w:rsid w:val="6099114B"/>
    <w:rsid w:val="61BB36B9"/>
    <w:rsid w:val="6290348D"/>
    <w:rsid w:val="62ED5AD4"/>
    <w:rsid w:val="639BEC4A"/>
    <w:rsid w:val="63F6D651"/>
    <w:rsid w:val="64F111F9"/>
    <w:rsid w:val="654FA958"/>
    <w:rsid w:val="6618C1EC"/>
    <w:rsid w:val="6689662F"/>
    <w:rsid w:val="66F088D9"/>
    <w:rsid w:val="67FECA50"/>
    <w:rsid w:val="682B0D2F"/>
    <w:rsid w:val="6875A967"/>
    <w:rsid w:val="69185C2A"/>
    <w:rsid w:val="6977CB0F"/>
    <w:rsid w:val="6A3D7302"/>
    <w:rsid w:val="6A5EA070"/>
    <w:rsid w:val="6ADF1D96"/>
    <w:rsid w:val="6AF7A9B9"/>
    <w:rsid w:val="6B0C5F08"/>
    <w:rsid w:val="6BAF50DA"/>
    <w:rsid w:val="6BF78BB8"/>
    <w:rsid w:val="6C3231B0"/>
    <w:rsid w:val="6C4E8A08"/>
    <w:rsid w:val="6C88F1DD"/>
    <w:rsid w:val="6D220B07"/>
    <w:rsid w:val="6D44C1D0"/>
    <w:rsid w:val="6D4F94C5"/>
    <w:rsid w:val="6E4EAF4A"/>
    <w:rsid w:val="6EC7EF66"/>
    <w:rsid w:val="6F2DFCF2"/>
    <w:rsid w:val="6F53C8F5"/>
    <w:rsid w:val="6F58836F"/>
    <w:rsid w:val="6FD3BDE0"/>
    <w:rsid w:val="70AC9D59"/>
    <w:rsid w:val="7146CF6E"/>
    <w:rsid w:val="7149296E"/>
    <w:rsid w:val="71767125"/>
    <w:rsid w:val="71B78077"/>
    <w:rsid w:val="72707B6B"/>
    <w:rsid w:val="73791B02"/>
    <w:rsid w:val="743413E1"/>
    <w:rsid w:val="751A931F"/>
    <w:rsid w:val="75264D27"/>
    <w:rsid w:val="76301F2E"/>
    <w:rsid w:val="7726EB15"/>
    <w:rsid w:val="77909A61"/>
    <w:rsid w:val="7924E34F"/>
    <w:rsid w:val="796F91D9"/>
    <w:rsid w:val="7C34E595"/>
    <w:rsid w:val="7C4B44F0"/>
    <w:rsid w:val="7C8D95D7"/>
    <w:rsid w:val="7CA0B769"/>
    <w:rsid w:val="7CF1DCDB"/>
    <w:rsid w:val="7DD38A2D"/>
    <w:rsid w:val="7DE56ACC"/>
    <w:rsid w:val="7E05823F"/>
    <w:rsid w:val="7E83187E"/>
    <w:rsid w:val="7E91C018"/>
    <w:rsid w:val="7F5057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EA659"/>
  <w15:chartTrackingRefBased/>
  <w15:docId w15:val="{5B55197A-E0D4-4CCD-AF59-9076C1B0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783"/>
  </w:style>
  <w:style w:type="paragraph" w:styleId="Heading2">
    <w:name w:val="heading 2"/>
    <w:basedOn w:val="Normal"/>
    <w:next w:val="Normal"/>
    <w:link w:val="Heading2Char"/>
    <w:uiPriority w:val="9"/>
    <w:semiHidden/>
    <w:unhideWhenUsed/>
    <w:qFormat/>
    <w:rsid w:val="00097C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74E1A"/>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1C3EC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3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4ADA"/>
  </w:style>
  <w:style w:type="character" w:styleId="CommentReference">
    <w:name w:val="annotation reference"/>
    <w:basedOn w:val="DefaultParagraphFont"/>
    <w:uiPriority w:val="99"/>
    <w:unhideWhenUsed/>
    <w:rsid w:val="005A4905"/>
    <w:rPr>
      <w:sz w:val="16"/>
      <w:szCs w:val="16"/>
    </w:rPr>
  </w:style>
  <w:style w:type="paragraph" w:styleId="CommentText">
    <w:name w:val="annotation text"/>
    <w:basedOn w:val="Normal"/>
    <w:link w:val="CommentTextChar"/>
    <w:uiPriority w:val="99"/>
    <w:unhideWhenUsed/>
    <w:rsid w:val="005A4905"/>
    <w:rPr>
      <w:sz w:val="20"/>
      <w:szCs w:val="20"/>
    </w:rPr>
  </w:style>
  <w:style w:type="character" w:customStyle="1" w:styleId="CommentTextChar">
    <w:name w:val="Comment Text Char"/>
    <w:basedOn w:val="DefaultParagraphFont"/>
    <w:link w:val="CommentText"/>
    <w:uiPriority w:val="99"/>
    <w:rsid w:val="005A4905"/>
    <w:rPr>
      <w:sz w:val="20"/>
      <w:szCs w:val="20"/>
    </w:rPr>
  </w:style>
  <w:style w:type="paragraph" w:styleId="CommentSubject">
    <w:name w:val="annotation subject"/>
    <w:basedOn w:val="CommentText"/>
    <w:next w:val="CommentText"/>
    <w:link w:val="CommentSubjectChar"/>
    <w:uiPriority w:val="99"/>
    <w:semiHidden/>
    <w:unhideWhenUsed/>
    <w:rsid w:val="005A4905"/>
    <w:rPr>
      <w:b/>
      <w:bCs/>
    </w:rPr>
  </w:style>
  <w:style w:type="character" w:customStyle="1" w:styleId="CommentSubjectChar">
    <w:name w:val="Comment Subject Char"/>
    <w:basedOn w:val="CommentTextChar"/>
    <w:link w:val="CommentSubject"/>
    <w:uiPriority w:val="99"/>
    <w:semiHidden/>
    <w:rsid w:val="005A4905"/>
    <w:rPr>
      <w:b/>
      <w:bCs/>
      <w:sz w:val="20"/>
      <w:szCs w:val="20"/>
    </w:rPr>
  </w:style>
  <w:style w:type="character" w:styleId="Hyperlink">
    <w:name w:val="Hyperlink"/>
    <w:basedOn w:val="DefaultParagraphFont"/>
    <w:uiPriority w:val="99"/>
    <w:unhideWhenUsed/>
    <w:rsid w:val="00912B87"/>
    <w:rPr>
      <w:color w:val="0000FF" w:themeColor="hyperlink"/>
      <w:u w:val="single"/>
    </w:rPr>
  </w:style>
  <w:style w:type="character" w:styleId="UnresolvedMention">
    <w:name w:val="Unresolved Mention"/>
    <w:basedOn w:val="DefaultParagraphFont"/>
    <w:uiPriority w:val="99"/>
    <w:semiHidden/>
    <w:unhideWhenUsed/>
    <w:rsid w:val="00912B87"/>
    <w:rPr>
      <w:color w:val="605E5C"/>
      <w:shd w:val="clear" w:color="auto" w:fill="E1DFDD"/>
    </w:rPr>
  </w:style>
  <w:style w:type="paragraph" w:styleId="ListParagraph">
    <w:name w:val="List Paragraph"/>
    <w:basedOn w:val="Normal"/>
    <w:uiPriority w:val="1"/>
    <w:qFormat/>
    <w:rsid w:val="00C774EB"/>
    <w:pPr>
      <w:ind w:left="720"/>
      <w:contextualSpacing/>
    </w:pPr>
  </w:style>
  <w:style w:type="character" w:styleId="Mention">
    <w:name w:val="Mention"/>
    <w:basedOn w:val="DefaultParagraphFont"/>
    <w:uiPriority w:val="99"/>
    <w:unhideWhenUsed/>
    <w:rsid w:val="00B1204C"/>
    <w:rPr>
      <w:color w:val="2B579A"/>
      <w:shd w:val="clear" w:color="auto" w:fill="E1DFDD"/>
    </w:rPr>
  </w:style>
  <w:style w:type="paragraph" w:styleId="BodyText">
    <w:name w:val="Body Text"/>
    <w:basedOn w:val="Normal"/>
    <w:link w:val="BodyTextChar"/>
    <w:uiPriority w:val="1"/>
    <w:qFormat/>
    <w:rsid w:val="00A8001A"/>
    <w:pPr>
      <w:autoSpaceDE w:val="0"/>
      <w:autoSpaceDN w:val="0"/>
      <w:adjustRightInd w:val="0"/>
      <w:spacing w:line="266" w:lineRule="exact"/>
      <w:ind w:left="39"/>
    </w:pPr>
    <w:rPr>
      <w:kern w:val="0"/>
    </w:rPr>
  </w:style>
  <w:style w:type="character" w:customStyle="1" w:styleId="BodyTextChar">
    <w:name w:val="Body Text Char"/>
    <w:basedOn w:val="DefaultParagraphFont"/>
    <w:link w:val="BodyText"/>
    <w:uiPriority w:val="1"/>
    <w:rsid w:val="00A8001A"/>
    <w:rPr>
      <w:kern w:val="0"/>
    </w:rPr>
  </w:style>
  <w:style w:type="paragraph" w:customStyle="1" w:styleId="dNormParatext">
    <w:name w:val="dNormPara text"/>
    <w:basedOn w:val="Normal"/>
    <w:link w:val="dNormParatextChar"/>
    <w:qFormat/>
    <w:rsid w:val="00171C92"/>
    <w:pPr>
      <w:spacing w:after="120"/>
      <w:ind w:left="567"/>
    </w:pPr>
    <w:rPr>
      <w:rFonts w:eastAsia="Times New Roman" w:cs="Times New Roman"/>
      <w:kern w:val="0"/>
      <w14:ligatures w14:val="none"/>
    </w:rPr>
  </w:style>
  <w:style w:type="character" w:customStyle="1" w:styleId="dNormParatextChar">
    <w:name w:val="dNormPara text Char"/>
    <w:link w:val="dNormParatext"/>
    <w:rsid w:val="00171C92"/>
    <w:rPr>
      <w:rFonts w:eastAsia="Times New Roman" w:cs="Times New Roman"/>
      <w:kern w:val="0"/>
      <w14:ligatures w14:val="none"/>
    </w:rPr>
  </w:style>
  <w:style w:type="paragraph" w:customStyle="1" w:styleId="dBulletpoints">
    <w:name w:val="dBullet points"/>
    <w:basedOn w:val="Normal"/>
    <w:link w:val="dBulletpointsChar"/>
    <w:qFormat/>
    <w:rsid w:val="001053BE"/>
    <w:pPr>
      <w:numPr>
        <w:numId w:val="16"/>
      </w:numPr>
      <w:spacing w:after="120"/>
      <w:ind w:left="1418" w:hanging="425"/>
    </w:pPr>
    <w:rPr>
      <w:rFonts w:eastAsia="Times New Roman" w:cs="Times New Roman"/>
      <w:kern w:val="0"/>
      <w14:ligatures w14:val="none"/>
    </w:rPr>
  </w:style>
  <w:style w:type="character" w:customStyle="1" w:styleId="dBulletpointsChar">
    <w:name w:val="dBullet points Char"/>
    <w:link w:val="dBulletpoints"/>
    <w:rsid w:val="001053BE"/>
    <w:rPr>
      <w:rFonts w:eastAsia="Times New Roman" w:cs="Times New Roman"/>
      <w:kern w:val="0"/>
      <w14:ligatures w14:val="none"/>
    </w:rPr>
  </w:style>
  <w:style w:type="character" w:customStyle="1" w:styleId="Heading2Char">
    <w:name w:val="Heading 2 Char"/>
    <w:basedOn w:val="DefaultParagraphFont"/>
    <w:link w:val="Heading2"/>
    <w:uiPriority w:val="9"/>
    <w:semiHidden/>
    <w:rsid w:val="00097C8D"/>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7054FA"/>
    <w:rPr>
      <w:color w:val="800080" w:themeColor="followedHyperlink"/>
      <w:u w:val="single"/>
    </w:rPr>
  </w:style>
  <w:style w:type="character" w:customStyle="1" w:styleId="Heading3Char">
    <w:name w:val="Heading 3 Char"/>
    <w:basedOn w:val="DefaultParagraphFont"/>
    <w:link w:val="Heading3"/>
    <w:uiPriority w:val="9"/>
    <w:semiHidden/>
    <w:rsid w:val="00474E1A"/>
    <w:rPr>
      <w:rFonts w:asciiTheme="majorHAnsi" w:eastAsiaTheme="majorEastAsia" w:hAnsiTheme="majorHAnsi" w:cstheme="majorBidi"/>
      <w:color w:val="243F60" w:themeColor="accent1" w:themeShade="7F"/>
    </w:rPr>
  </w:style>
  <w:style w:type="paragraph" w:customStyle="1" w:styleId="dLetterListPara">
    <w:name w:val="dLetterListPara"/>
    <w:basedOn w:val="Normal"/>
    <w:link w:val="dLetterListParaChar"/>
    <w:qFormat/>
    <w:rsid w:val="00A7278C"/>
    <w:pPr>
      <w:spacing w:after="120"/>
      <w:ind w:left="992"/>
    </w:pPr>
    <w:rPr>
      <w:rFonts w:eastAsia="Times New Roman" w:cs="Times New Roman"/>
      <w:kern w:val="0"/>
      <w14:ligatures w14:val="none"/>
    </w:rPr>
  </w:style>
  <w:style w:type="character" w:customStyle="1" w:styleId="dLetterListParaChar">
    <w:name w:val="dLetterListPara Char"/>
    <w:basedOn w:val="DefaultParagraphFont"/>
    <w:link w:val="dLetterListPara"/>
    <w:rsid w:val="00A7278C"/>
    <w:rPr>
      <w:rFonts w:eastAsia="Times New Roman" w:cs="Times New Roman"/>
      <w:kern w:val="0"/>
      <w14:ligatures w14:val="none"/>
    </w:rPr>
  </w:style>
  <w:style w:type="character" w:customStyle="1" w:styleId="Heading5Char">
    <w:name w:val="Heading 5 Char"/>
    <w:basedOn w:val="DefaultParagraphFont"/>
    <w:link w:val="Heading5"/>
    <w:uiPriority w:val="9"/>
    <w:semiHidden/>
    <w:rsid w:val="001C3EC9"/>
    <w:rPr>
      <w:rFonts w:asciiTheme="majorHAnsi" w:eastAsiaTheme="majorEastAsia" w:hAnsiTheme="majorHAnsi" w:cstheme="majorBidi"/>
      <w:color w:val="365F91" w:themeColor="accent1" w:themeShade="BF"/>
    </w:rPr>
  </w:style>
  <w:style w:type="paragraph" w:customStyle="1" w:styleId="TableParagraph">
    <w:name w:val="Table Paragraph"/>
    <w:basedOn w:val="Normal"/>
    <w:uiPriority w:val="1"/>
    <w:qFormat/>
    <w:rsid w:val="0051506E"/>
    <w:pPr>
      <w:widowControl w:val="0"/>
      <w:autoSpaceDE w:val="0"/>
      <w:autoSpaceDN w:val="0"/>
      <w:ind w:left="86"/>
    </w:pPr>
    <w:rPr>
      <w:rFonts w:eastAsia="Arial"/>
      <w:kern w:val="0"/>
      <w:sz w:val="22"/>
      <w:szCs w:val="22"/>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mocraticservices@oxford.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mocraticservices@oxford.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scrutiny@oxford.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cscrutiny@oxford.gov.uk" TargetMode="External"/><Relationship Id="rId4" Type="http://schemas.openxmlformats.org/officeDocument/2006/relationships/customXml" Target="../customXml/item4.xml"/><Relationship Id="rId9" Type="http://schemas.openxmlformats.org/officeDocument/2006/relationships/hyperlink" Target="mailto:cabinetreports@oxford.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customXml/itemProps2.xml><?xml version="1.0" encoding="utf-8"?>
<ds:datastoreItem xmlns:ds="http://schemas.openxmlformats.org/officeDocument/2006/customXml" ds:itemID="{443814B9-A130-4715-806F-FC36F3A91946}">
  <ds:schemaRefs>
    <ds:schemaRef ds:uri="http://schemas.microsoft.com/sharepoint/v3/contenttype/forms"/>
  </ds:schemaRefs>
</ds:datastoreItem>
</file>

<file path=customXml/itemProps3.xml><?xml version="1.0" encoding="utf-8"?>
<ds:datastoreItem xmlns:ds="http://schemas.openxmlformats.org/officeDocument/2006/customXml" ds:itemID="{E7BEEAD8-68C3-4773-BE3C-83C9F4FC1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262472-4626-4487-AAF8-129CAB0FE6AB}">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5267</Words>
  <Characters>30026</Characters>
  <Application>Microsoft Office Word</Application>
  <DocSecurity>0</DocSecurity>
  <Lines>250</Lines>
  <Paragraphs>70</Paragraphs>
  <ScaleCrop>false</ScaleCrop>
  <Company>Oxford City Council</Company>
  <LinksUpToDate>false</LinksUpToDate>
  <CharactersWithSpaces>35223</CharactersWithSpaces>
  <SharedDoc>false</SharedDoc>
  <HLinks>
    <vt:vector size="6" baseType="variant">
      <vt:variant>
        <vt:i4>5177403</vt:i4>
      </vt:variant>
      <vt:variant>
        <vt:i4>0</vt:i4>
      </vt:variant>
      <vt:variant>
        <vt:i4>0</vt:i4>
      </vt:variant>
      <vt:variant>
        <vt:i4>5</vt:i4>
      </vt:variant>
      <vt:variant>
        <vt:lpwstr>mailto:acscrutiny@oxford.gov.uk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MALTON Jonathan</dc:creator>
  <cp:keywords/>
  <dc:description/>
  <cp:lastModifiedBy>MALTON Jonathan</cp:lastModifiedBy>
  <cp:revision>306</cp:revision>
  <dcterms:created xsi:type="dcterms:W3CDTF">2025-05-16T00:44:00Z</dcterms:created>
  <dcterms:modified xsi:type="dcterms:W3CDTF">2025-11-14T15:39:00Z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ies>
</file>